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411C" w14:textId="1484C1E6" w:rsidR="005A099A" w:rsidRPr="00E3487F" w:rsidRDefault="009045B5" w:rsidP="00D4578E">
      <w:pPr>
        <w:pStyle w:val="Heading1"/>
        <w:spacing w:before="600" w:line="360" w:lineRule="auto"/>
        <w:ind w:left="0" w:right="493"/>
      </w:pPr>
      <w:bookmarkStart w:id="0" w:name="_Hlk144730035"/>
      <w:r>
        <w:t>Gas</w:t>
      </w:r>
      <w:r w:rsidR="008661AC">
        <w:t xml:space="preserve"> safety</w:t>
      </w:r>
      <w:r w:rsidR="008C79D5" w:rsidRPr="00E3487F">
        <w:t xml:space="preserve"> policy</w:t>
      </w:r>
    </w:p>
    <w:p w14:paraId="040ECD84" w14:textId="699BC2B1" w:rsidR="0079487C" w:rsidRPr="00E256EB" w:rsidRDefault="0079487C" w:rsidP="00E256EB">
      <w:r>
        <w:t>Department:</w:t>
      </w:r>
      <w:r>
        <w:tab/>
      </w:r>
      <w:r>
        <w:tab/>
      </w:r>
      <w:r>
        <w:tab/>
      </w:r>
      <w:r w:rsidR="008C79D5">
        <w:t>Housing a</w:t>
      </w:r>
      <w:r>
        <w:t>sset management</w:t>
      </w:r>
    </w:p>
    <w:p w14:paraId="6E406F54" w14:textId="7AA27495" w:rsidR="501D19D9" w:rsidRDefault="501D19D9">
      <w:r>
        <w:t>Policy date/last update</w:t>
      </w:r>
      <w:proofErr w:type="gramStart"/>
      <w:r>
        <w:t>:</w:t>
      </w:r>
      <w:r>
        <w:tab/>
      </w:r>
      <w:r>
        <w:tab/>
        <w:t>June</w:t>
      </w:r>
      <w:proofErr w:type="gramEnd"/>
      <w:r>
        <w:t xml:space="preserve"> 2025</w:t>
      </w:r>
    </w:p>
    <w:p w14:paraId="41D7ACBE" w14:textId="47BE1DD9" w:rsidR="001C76DC" w:rsidRDefault="75426E82" w:rsidP="00B94396">
      <w:pPr>
        <w:spacing w:after="3600"/>
      </w:pPr>
      <w:r>
        <w:t>Review date</w:t>
      </w:r>
      <w:r w:rsidR="0079487C">
        <w:t>:</w:t>
      </w:r>
      <w:r w:rsidR="0079487C">
        <w:tab/>
      </w:r>
      <w:r w:rsidR="0079487C">
        <w:tab/>
      </w:r>
      <w:r w:rsidR="0079487C">
        <w:tab/>
      </w:r>
      <w:r w:rsidR="005E674A">
        <w:t>Ju</w:t>
      </w:r>
      <w:r w:rsidR="0027699B">
        <w:t>ne</w:t>
      </w:r>
      <w:r w:rsidR="005E674A">
        <w:t xml:space="preserve"> 202</w:t>
      </w:r>
      <w:r w:rsidR="4802694A">
        <w:t>7</w:t>
      </w:r>
    </w:p>
    <w:p w14:paraId="37843717" w14:textId="66424C83" w:rsidR="0027699B" w:rsidRDefault="0027699B">
      <w:pPr>
        <w:spacing w:before="0" w:after="0"/>
      </w:pPr>
      <w:r>
        <w:br w:type="page"/>
      </w:r>
    </w:p>
    <w:p w14:paraId="3A117478" w14:textId="6D5DC83D" w:rsidR="00B1151C" w:rsidRPr="00E3487F" w:rsidRDefault="00A46631" w:rsidP="00B94396">
      <w:pPr>
        <w:pStyle w:val="Title"/>
        <w:spacing w:after="480"/>
        <w:ind w:left="227"/>
        <w:rPr>
          <w:sz w:val="24"/>
        </w:rPr>
      </w:pPr>
      <w:r w:rsidRPr="00E3487F">
        <w:rPr>
          <w:rStyle w:val="SubtleReference"/>
          <w:b/>
          <w:bCs w:val="0"/>
        </w:rPr>
        <w:lastRenderedPageBreak/>
        <w:t>Contents</w:t>
      </w:r>
      <w:bookmarkStart w:id="1" w:name="1.0_Introduction"/>
      <w:bookmarkStart w:id="2" w:name="_bookmark0"/>
      <w:bookmarkStart w:id="3" w:name="_Toc141428978"/>
      <w:bookmarkEnd w:id="0"/>
      <w:bookmarkEnd w:id="1"/>
      <w:bookmarkEnd w:id="2"/>
    </w:p>
    <w:p w14:paraId="3373F971" w14:textId="004C7E00" w:rsidR="00E35D1B" w:rsidRPr="002032F8" w:rsidRDefault="00B339BE">
      <w:pPr>
        <w:pStyle w:val="TOC2"/>
        <w:tabs>
          <w:tab w:val="left" w:pos="1074"/>
          <w:tab w:val="right" w:leader="dot" w:pos="9020"/>
        </w:tabs>
        <w:rPr>
          <w:rFonts w:asciiTheme="minorHAnsi" w:eastAsiaTheme="minorEastAsia" w:hAnsiTheme="minorHAnsi" w:cstheme="minorBidi"/>
          <w:noProof/>
          <w:kern w:val="2"/>
          <w:sz w:val="24"/>
          <w:szCs w:val="24"/>
          <w:lang w:val="en-GB" w:eastAsia="en-GB"/>
          <w14:ligatures w14:val="standardContextual"/>
        </w:rPr>
      </w:pPr>
      <w:r w:rsidRPr="00C33627">
        <w:rPr>
          <w:sz w:val="24"/>
          <w:szCs w:val="24"/>
        </w:rPr>
        <w:fldChar w:fldCharType="begin"/>
      </w:r>
      <w:r w:rsidRPr="00C33627">
        <w:rPr>
          <w:sz w:val="24"/>
          <w:szCs w:val="24"/>
        </w:rPr>
        <w:instrText xml:space="preserve"> TOC \o "2-2" \h \z </w:instrText>
      </w:r>
      <w:r w:rsidRPr="00C33627">
        <w:rPr>
          <w:sz w:val="24"/>
          <w:szCs w:val="24"/>
        </w:rPr>
        <w:fldChar w:fldCharType="separate"/>
      </w:r>
      <w:hyperlink w:anchor="_Toc200227461" w:history="1">
        <w:r w:rsidR="00E35D1B" w:rsidRPr="0028512E">
          <w:rPr>
            <w:rStyle w:val="Hyperlink"/>
            <w:noProof/>
            <w:sz w:val="24"/>
            <w:szCs w:val="24"/>
          </w:rPr>
          <w:t>1.</w:t>
        </w:r>
        <w:r w:rsidR="00E35D1B" w:rsidRPr="002032F8">
          <w:rPr>
            <w:rFonts w:asciiTheme="minorHAnsi" w:eastAsiaTheme="minorEastAsia" w:hAnsiTheme="minorHAnsi" w:cstheme="minorBidi"/>
            <w:noProof/>
            <w:kern w:val="2"/>
            <w:sz w:val="24"/>
            <w:szCs w:val="24"/>
            <w:lang w:val="en-GB" w:eastAsia="en-GB"/>
            <w14:ligatures w14:val="standardContextual"/>
          </w:rPr>
          <w:tab/>
        </w:r>
        <w:r w:rsidR="00E35D1B" w:rsidRPr="0028512E">
          <w:rPr>
            <w:rStyle w:val="Hyperlink"/>
            <w:noProof/>
            <w:sz w:val="24"/>
            <w:szCs w:val="24"/>
          </w:rPr>
          <w:t>Scope</w:t>
        </w:r>
        <w:r w:rsidR="00E35D1B" w:rsidRPr="0028512E">
          <w:rPr>
            <w:noProof/>
            <w:webHidden/>
            <w:sz w:val="24"/>
            <w:szCs w:val="24"/>
          </w:rPr>
          <w:tab/>
        </w:r>
        <w:r w:rsidR="00E35D1B" w:rsidRPr="0028512E">
          <w:rPr>
            <w:noProof/>
            <w:webHidden/>
            <w:sz w:val="24"/>
            <w:szCs w:val="24"/>
          </w:rPr>
          <w:fldChar w:fldCharType="begin"/>
        </w:r>
        <w:r w:rsidR="00E35D1B" w:rsidRPr="0028512E">
          <w:rPr>
            <w:noProof/>
            <w:webHidden/>
            <w:sz w:val="24"/>
            <w:szCs w:val="24"/>
          </w:rPr>
          <w:instrText xml:space="preserve"> PAGEREF _Toc200227461 \h </w:instrText>
        </w:r>
        <w:r w:rsidR="00E35D1B" w:rsidRPr="0028512E">
          <w:rPr>
            <w:noProof/>
            <w:webHidden/>
            <w:sz w:val="24"/>
            <w:szCs w:val="24"/>
          </w:rPr>
        </w:r>
        <w:r w:rsidR="00E35D1B" w:rsidRPr="0028512E">
          <w:rPr>
            <w:noProof/>
            <w:webHidden/>
            <w:sz w:val="24"/>
            <w:szCs w:val="24"/>
          </w:rPr>
          <w:fldChar w:fldCharType="separate"/>
        </w:r>
        <w:r w:rsidR="0031682C">
          <w:rPr>
            <w:noProof/>
            <w:webHidden/>
            <w:sz w:val="24"/>
            <w:szCs w:val="24"/>
          </w:rPr>
          <w:t>3</w:t>
        </w:r>
        <w:r w:rsidR="00E35D1B" w:rsidRPr="0028512E">
          <w:rPr>
            <w:noProof/>
            <w:webHidden/>
            <w:sz w:val="24"/>
            <w:szCs w:val="24"/>
          </w:rPr>
          <w:fldChar w:fldCharType="end"/>
        </w:r>
      </w:hyperlink>
    </w:p>
    <w:p w14:paraId="033542EA" w14:textId="796BF623" w:rsidR="00E35D1B" w:rsidRPr="002032F8" w:rsidRDefault="00E35D1B">
      <w:pPr>
        <w:pStyle w:val="TOC2"/>
        <w:tabs>
          <w:tab w:val="left" w:pos="120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62" w:history="1">
        <w:r w:rsidRPr="0028512E">
          <w:rPr>
            <w:rStyle w:val="Hyperlink"/>
            <w:noProof/>
            <w:sz w:val="24"/>
            <w:szCs w:val="24"/>
          </w:rPr>
          <w:t xml:space="preserve">2.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Aims and objectives</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_Toc200227462 \h </w:instrText>
        </w:r>
        <w:r w:rsidRPr="0028512E">
          <w:rPr>
            <w:noProof/>
            <w:webHidden/>
            <w:sz w:val="24"/>
            <w:szCs w:val="24"/>
          </w:rPr>
        </w:r>
        <w:r w:rsidRPr="0028512E">
          <w:rPr>
            <w:noProof/>
            <w:webHidden/>
            <w:sz w:val="24"/>
            <w:szCs w:val="24"/>
          </w:rPr>
          <w:fldChar w:fldCharType="separate"/>
        </w:r>
        <w:r w:rsidR="0031682C">
          <w:rPr>
            <w:noProof/>
            <w:webHidden/>
            <w:sz w:val="24"/>
            <w:szCs w:val="24"/>
          </w:rPr>
          <w:t>3</w:t>
        </w:r>
        <w:r w:rsidRPr="0028512E">
          <w:rPr>
            <w:noProof/>
            <w:webHidden/>
            <w:sz w:val="24"/>
            <w:szCs w:val="24"/>
          </w:rPr>
          <w:fldChar w:fldCharType="end"/>
        </w:r>
      </w:hyperlink>
    </w:p>
    <w:p w14:paraId="2D54BCD6" w14:textId="37251AA0" w:rsidR="00E35D1B" w:rsidRPr="002032F8" w:rsidRDefault="00E35D1B">
      <w:pPr>
        <w:pStyle w:val="TOC2"/>
        <w:tabs>
          <w:tab w:val="left" w:pos="120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63" w:history="1">
        <w:r w:rsidRPr="0028512E">
          <w:rPr>
            <w:rStyle w:val="Hyperlink"/>
            <w:noProof/>
            <w:sz w:val="24"/>
            <w:szCs w:val="24"/>
          </w:rPr>
          <w:t xml:space="preserve">3.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Policy statement</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_Toc200227463 \h </w:instrText>
        </w:r>
        <w:r w:rsidRPr="0028512E">
          <w:rPr>
            <w:noProof/>
            <w:webHidden/>
            <w:sz w:val="24"/>
            <w:szCs w:val="24"/>
          </w:rPr>
        </w:r>
        <w:r w:rsidRPr="0028512E">
          <w:rPr>
            <w:noProof/>
            <w:webHidden/>
            <w:sz w:val="24"/>
            <w:szCs w:val="24"/>
          </w:rPr>
          <w:fldChar w:fldCharType="separate"/>
        </w:r>
        <w:r w:rsidR="0031682C">
          <w:rPr>
            <w:noProof/>
            <w:webHidden/>
            <w:sz w:val="24"/>
            <w:szCs w:val="24"/>
          </w:rPr>
          <w:t>4</w:t>
        </w:r>
        <w:r w:rsidRPr="0028512E">
          <w:rPr>
            <w:noProof/>
            <w:webHidden/>
            <w:sz w:val="24"/>
            <w:szCs w:val="24"/>
          </w:rPr>
          <w:fldChar w:fldCharType="end"/>
        </w:r>
      </w:hyperlink>
    </w:p>
    <w:p w14:paraId="26DD2F91" w14:textId="01527348" w:rsidR="00E35D1B" w:rsidRPr="002032F8" w:rsidRDefault="00E35D1B">
      <w:pPr>
        <w:pStyle w:val="TOC2"/>
        <w:tabs>
          <w:tab w:val="left" w:pos="120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64" w:history="1">
        <w:r w:rsidRPr="0028512E">
          <w:rPr>
            <w:rStyle w:val="Hyperlink"/>
            <w:noProof/>
            <w:sz w:val="24"/>
            <w:szCs w:val="24"/>
          </w:rPr>
          <w:t xml:space="preserve">4.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Robust safety inspection regime on Ealing owned gas appliances</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_Toc200227464 \h </w:instrText>
        </w:r>
        <w:r w:rsidRPr="0028512E">
          <w:rPr>
            <w:noProof/>
            <w:webHidden/>
            <w:sz w:val="24"/>
            <w:szCs w:val="24"/>
          </w:rPr>
        </w:r>
        <w:r w:rsidRPr="0028512E">
          <w:rPr>
            <w:noProof/>
            <w:webHidden/>
            <w:sz w:val="24"/>
            <w:szCs w:val="24"/>
          </w:rPr>
          <w:fldChar w:fldCharType="separate"/>
        </w:r>
        <w:r w:rsidR="0031682C">
          <w:rPr>
            <w:noProof/>
            <w:webHidden/>
            <w:sz w:val="24"/>
            <w:szCs w:val="24"/>
          </w:rPr>
          <w:t>5</w:t>
        </w:r>
        <w:r w:rsidRPr="0028512E">
          <w:rPr>
            <w:noProof/>
            <w:webHidden/>
            <w:sz w:val="24"/>
            <w:szCs w:val="24"/>
          </w:rPr>
          <w:fldChar w:fldCharType="end"/>
        </w:r>
      </w:hyperlink>
    </w:p>
    <w:p w14:paraId="0E76A5A5" w14:textId="2662DB11" w:rsidR="00E35D1B" w:rsidRPr="002032F8" w:rsidRDefault="00E35D1B">
      <w:pPr>
        <w:pStyle w:val="TOC2"/>
        <w:tabs>
          <w:tab w:val="left" w:pos="1074"/>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65" w:history="1">
        <w:r w:rsidRPr="0028512E">
          <w:rPr>
            <w:rStyle w:val="Hyperlink"/>
            <w:noProof/>
            <w:sz w:val="24"/>
            <w:szCs w:val="24"/>
          </w:rPr>
          <w:t>5.</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Gas safety</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_Toc200227465 \h </w:instrText>
        </w:r>
        <w:r w:rsidRPr="0028512E">
          <w:rPr>
            <w:noProof/>
            <w:webHidden/>
            <w:sz w:val="24"/>
            <w:szCs w:val="24"/>
          </w:rPr>
        </w:r>
        <w:r w:rsidRPr="0028512E">
          <w:rPr>
            <w:noProof/>
            <w:webHidden/>
            <w:sz w:val="24"/>
            <w:szCs w:val="24"/>
          </w:rPr>
          <w:fldChar w:fldCharType="separate"/>
        </w:r>
        <w:r w:rsidR="0031682C">
          <w:rPr>
            <w:noProof/>
            <w:webHidden/>
            <w:sz w:val="24"/>
            <w:szCs w:val="24"/>
          </w:rPr>
          <w:t>6</w:t>
        </w:r>
        <w:r w:rsidRPr="0028512E">
          <w:rPr>
            <w:noProof/>
            <w:webHidden/>
            <w:sz w:val="24"/>
            <w:szCs w:val="24"/>
          </w:rPr>
          <w:fldChar w:fldCharType="end"/>
        </w:r>
      </w:hyperlink>
    </w:p>
    <w:p w14:paraId="78BD67DB" w14:textId="3BDA3A5A" w:rsidR="00E35D1B" w:rsidRPr="002032F8" w:rsidRDefault="00E35D1B">
      <w:pPr>
        <w:pStyle w:val="TOC2"/>
        <w:tabs>
          <w:tab w:val="left" w:pos="120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66" w:history="1">
        <w:r w:rsidRPr="0028512E">
          <w:rPr>
            <w:rStyle w:val="Hyperlink"/>
            <w:noProof/>
            <w:sz w:val="24"/>
            <w:szCs w:val="24"/>
          </w:rPr>
          <w:t xml:space="preserve">6.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Resident engagement</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_Toc200227466 \h </w:instrText>
        </w:r>
        <w:r w:rsidRPr="0028512E">
          <w:rPr>
            <w:noProof/>
            <w:webHidden/>
            <w:sz w:val="24"/>
            <w:szCs w:val="24"/>
          </w:rPr>
        </w:r>
        <w:r w:rsidRPr="0028512E">
          <w:rPr>
            <w:noProof/>
            <w:webHidden/>
            <w:sz w:val="24"/>
            <w:szCs w:val="24"/>
          </w:rPr>
          <w:fldChar w:fldCharType="separate"/>
        </w:r>
        <w:r w:rsidR="0031682C">
          <w:rPr>
            <w:noProof/>
            <w:webHidden/>
            <w:sz w:val="24"/>
            <w:szCs w:val="24"/>
          </w:rPr>
          <w:t>8</w:t>
        </w:r>
        <w:r w:rsidRPr="0028512E">
          <w:rPr>
            <w:noProof/>
            <w:webHidden/>
            <w:sz w:val="24"/>
            <w:szCs w:val="24"/>
          </w:rPr>
          <w:fldChar w:fldCharType="end"/>
        </w:r>
      </w:hyperlink>
    </w:p>
    <w:p w14:paraId="15463040" w14:textId="3C80AE60" w:rsidR="00E35D1B" w:rsidRPr="002032F8" w:rsidRDefault="00E35D1B">
      <w:pPr>
        <w:pStyle w:val="TOC2"/>
        <w:tabs>
          <w:tab w:val="left" w:pos="120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67" w:history="1">
        <w:r w:rsidRPr="0028512E">
          <w:rPr>
            <w:rStyle w:val="Hyperlink"/>
            <w:noProof/>
            <w:sz w:val="24"/>
            <w:szCs w:val="24"/>
          </w:rPr>
          <w:t xml:space="preserve">7.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Contractor engagement</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_Toc200227467 \h </w:instrText>
        </w:r>
        <w:r w:rsidRPr="0028512E">
          <w:rPr>
            <w:noProof/>
            <w:webHidden/>
            <w:sz w:val="24"/>
            <w:szCs w:val="24"/>
          </w:rPr>
        </w:r>
        <w:r w:rsidRPr="0028512E">
          <w:rPr>
            <w:noProof/>
            <w:webHidden/>
            <w:sz w:val="24"/>
            <w:szCs w:val="24"/>
          </w:rPr>
          <w:fldChar w:fldCharType="separate"/>
        </w:r>
        <w:r w:rsidR="0031682C">
          <w:rPr>
            <w:noProof/>
            <w:webHidden/>
            <w:sz w:val="24"/>
            <w:szCs w:val="24"/>
          </w:rPr>
          <w:t>9</w:t>
        </w:r>
        <w:r w:rsidRPr="0028512E">
          <w:rPr>
            <w:noProof/>
            <w:webHidden/>
            <w:sz w:val="24"/>
            <w:szCs w:val="24"/>
          </w:rPr>
          <w:fldChar w:fldCharType="end"/>
        </w:r>
      </w:hyperlink>
    </w:p>
    <w:p w14:paraId="40B5CC1C" w14:textId="50E6FA00" w:rsidR="00E35D1B" w:rsidRPr="002032F8" w:rsidRDefault="00E35D1B">
      <w:pPr>
        <w:pStyle w:val="TOC2"/>
        <w:tabs>
          <w:tab w:val="left" w:pos="1074"/>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68" w:history="1">
        <w:r w:rsidRPr="0028512E">
          <w:rPr>
            <w:rStyle w:val="Hyperlink"/>
            <w:noProof/>
            <w:sz w:val="24"/>
            <w:szCs w:val="24"/>
          </w:rPr>
          <w:t>8.</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New build</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_Toc200227468 \h </w:instrText>
        </w:r>
        <w:r w:rsidRPr="0028512E">
          <w:rPr>
            <w:noProof/>
            <w:webHidden/>
            <w:sz w:val="24"/>
            <w:szCs w:val="24"/>
          </w:rPr>
        </w:r>
        <w:r w:rsidRPr="0028512E">
          <w:rPr>
            <w:noProof/>
            <w:webHidden/>
            <w:sz w:val="24"/>
            <w:szCs w:val="24"/>
          </w:rPr>
          <w:fldChar w:fldCharType="separate"/>
        </w:r>
        <w:r w:rsidR="0031682C">
          <w:rPr>
            <w:noProof/>
            <w:webHidden/>
            <w:sz w:val="24"/>
            <w:szCs w:val="24"/>
          </w:rPr>
          <w:t>10</w:t>
        </w:r>
        <w:r w:rsidRPr="0028512E">
          <w:rPr>
            <w:noProof/>
            <w:webHidden/>
            <w:sz w:val="24"/>
            <w:szCs w:val="24"/>
          </w:rPr>
          <w:fldChar w:fldCharType="end"/>
        </w:r>
      </w:hyperlink>
    </w:p>
    <w:p w14:paraId="1964253E" w14:textId="67E63531" w:rsidR="00E35D1B" w:rsidRPr="002032F8" w:rsidRDefault="00E35D1B">
      <w:pPr>
        <w:pStyle w:val="TOC2"/>
        <w:tabs>
          <w:tab w:val="left" w:pos="1074"/>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69" w:history="1">
        <w:r w:rsidRPr="0028512E">
          <w:rPr>
            <w:rStyle w:val="Hyperlink"/>
            <w:noProof/>
            <w:sz w:val="24"/>
            <w:szCs w:val="24"/>
          </w:rPr>
          <w:t>9.</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Monitoring, compliance, and review</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_Toc200227469 \h </w:instrText>
        </w:r>
        <w:r w:rsidRPr="0028512E">
          <w:rPr>
            <w:noProof/>
            <w:webHidden/>
            <w:sz w:val="24"/>
            <w:szCs w:val="24"/>
          </w:rPr>
        </w:r>
        <w:r w:rsidRPr="0028512E">
          <w:rPr>
            <w:noProof/>
            <w:webHidden/>
            <w:sz w:val="24"/>
            <w:szCs w:val="24"/>
          </w:rPr>
          <w:fldChar w:fldCharType="separate"/>
        </w:r>
        <w:r w:rsidR="0031682C">
          <w:rPr>
            <w:noProof/>
            <w:webHidden/>
            <w:sz w:val="24"/>
            <w:szCs w:val="24"/>
          </w:rPr>
          <w:t>10</w:t>
        </w:r>
        <w:r w:rsidRPr="0028512E">
          <w:rPr>
            <w:noProof/>
            <w:webHidden/>
            <w:sz w:val="24"/>
            <w:szCs w:val="24"/>
          </w:rPr>
          <w:fldChar w:fldCharType="end"/>
        </w:r>
      </w:hyperlink>
    </w:p>
    <w:p w14:paraId="31F5718C" w14:textId="065C7B56" w:rsidR="00E35D1B" w:rsidRPr="002032F8" w:rsidRDefault="00E35D1B">
      <w:pPr>
        <w:pStyle w:val="TOC2"/>
        <w:tabs>
          <w:tab w:val="left" w:pos="144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70" w:history="1">
        <w:r w:rsidRPr="0028512E">
          <w:rPr>
            <w:rStyle w:val="Hyperlink"/>
            <w:noProof/>
            <w:sz w:val="24"/>
            <w:szCs w:val="24"/>
          </w:rPr>
          <w:t xml:space="preserve">10.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Diversity and inclusion</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_Toc200227470 \h </w:instrText>
        </w:r>
        <w:r w:rsidRPr="0028512E">
          <w:rPr>
            <w:noProof/>
            <w:webHidden/>
            <w:sz w:val="24"/>
            <w:szCs w:val="24"/>
          </w:rPr>
        </w:r>
        <w:r w:rsidRPr="0028512E">
          <w:rPr>
            <w:noProof/>
            <w:webHidden/>
            <w:sz w:val="24"/>
            <w:szCs w:val="24"/>
          </w:rPr>
          <w:fldChar w:fldCharType="separate"/>
        </w:r>
        <w:r w:rsidR="0031682C">
          <w:rPr>
            <w:noProof/>
            <w:webHidden/>
            <w:sz w:val="24"/>
            <w:szCs w:val="24"/>
          </w:rPr>
          <w:t>11</w:t>
        </w:r>
        <w:r w:rsidRPr="0028512E">
          <w:rPr>
            <w:noProof/>
            <w:webHidden/>
            <w:sz w:val="24"/>
            <w:szCs w:val="24"/>
          </w:rPr>
          <w:fldChar w:fldCharType="end"/>
        </w:r>
      </w:hyperlink>
    </w:p>
    <w:p w14:paraId="3011E047" w14:textId="4CB2D807" w:rsidR="00E35D1B" w:rsidRPr="002032F8" w:rsidRDefault="00E35D1B">
      <w:pPr>
        <w:pStyle w:val="TOC2"/>
        <w:tabs>
          <w:tab w:val="left" w:pos="144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71" w:history="1">
        <w:r w:rsidRPr="0028512E">
          <w:rPr>
            <w:rStyle w:val="Hyperlink"/>
            <w:noProof/>
            <w:sz w:val="24"/>
            <w:szCs w:val="24"/>
          </w:rPr>
          <w:t xml:space="preserve">11.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Governance</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_Toc200227471 \h </w:instrText>
        </w:r>
        <w:r w:rsidRPr="0028512E">
          <w:rPr>
            <w:noProof/>
            <w:webHidden/>
            <w:sz w:val="24"/>
            <w:szCs w:val="24"/>
          </w:rPr>
        </w:r>
        <w:r w:rsidRPr="0028512E">
          <w:rPr>
            <w:noProof/>
            <w:webHidden/>
            <w:sz w:val="24"/>
            <w:szCs w:val="24"/>
          </w:rPr>
          <w:fldChar w:fldCharType="separate"/>
        </w:r>
        <w:r w:rsidR="0031682C">
          <w:rPr>
            <w:noProof/>
            <w:webHidden/>
            <w:sz w:val="24"/>
            <w:szCs w:val="24"/>
          </w:rPr>
          <w:t>11</w:t>
        </w:r>
        <w:r w:rsidRPr="0028512E">
          <w:rPr>
            <w:noProof/>
            <w:webHidden/>
            <w:sz w:val="24"/>
            <w:szCs w:val="24"/>
          </w:rPr>
          <w:fldChar w:fldCharType="end"/>
        </w:r>
      </w:hyperlink>
    </w:p>
    <w:p w14:paraId="38D5C428" w14:textId="6C09C66C" w:rsidR="00E35D1B" w:rsidRPr="002032F8" w:rsidRDefault="00E35D1B">
      <w:pPr>
        <w:pStyle w:val="TOC2"/>
        <w:tabs>
          <w:tab w:val="left" w:pos="144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72" w:history="1">
        <w:r w:rsidRPr="0028512E">
          <w:rPr>
            <w:rStyle w:val="Hyperlink"/>
            <w:noProof/>
            <w:sz w:val="24"/>
            <w:szCs w:val="24"/>
          </w:rPr>
          <w:t xml:space="preserve">12.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Legal framework</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_Toc200227472 \h </w:instrText>
        </w:r>
        <w:r w:rsidRPr="0028512E">
          <w:rPr>
            <w:noProof/>
            <w:webHidden/>
            <w:sz w:val="24"/>
            <w:szCs w:val="24"/>
          </w:rPr>
        </w:r>
        <w:r w:rsidRPr="0028512E">
          <w:rPr>
            <w:noProof/>
            <w:webHidden/>
            <w:sz w:val="24"/>
            <w:szCs w:val="24"/>
          </w:rPr>
          <w:fldChar w:fldCharType="separate"/>
        </w:r>
        <w:r w:rsidR="0031682C">
          <w:rPr>
            <w:noProof/>
            <w:webHidden/>
            <w:sz w:val="24"/>
            <w:szCs w:val="24"/>
          </w:rPr>
          <w:t>12</w:t>
        </w:r>
        <w:r w:rsidRPr="0028512E">
          <w:rPr>
            <w:noProof/>
            <w:webHidden/>
            <w:sz w:val="24"/>
            <w:szCs w:val="24"/>
          </w:rPr>
          <w:fldChar w:fldCharType="end"/>
        </w:r>
      </w:hyperlink>
    </w:p>
    <w:p w14:paraId="7BD30D7E" w14:textId="0CD73718" w:rsidR="00E35D1B" w:rsidRPr="002032F8" w:rsidRDefault="00E35D1B">
      <w:pPr>
        <w:pStyle w:val="TOC2"/>
        <w:tabs>
          <w:tab w:val="left" w:pos="144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73" w:history="1">
        <w:r w:rsidRPr="0028512E">
          <w:rPr>
            <w:rStyle w:val="Hyperlink"/>
            <w:noProof/>
            <w:sz w:val="24"/>
            <w:szCs w:val="24"/>
          </w:rPr>
          <w:t xml:space="preserve">13. </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Associated policies and procedures</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_Toc200227473 \h </w:instrText>
        </w:r>
        <w:r w:rsidRPr="0028512E">
          <w:rPr>
            <w:noProof/>
            <w:webHidden/>
            <w:sz w:val="24"/>
            <w:szCs w:val="24"/>
          </w:rPr>
        </w:r>
        <w:r w:rsidRPr="0028512E">
          <w:rPr>
            <w:noProof/>
            <w:webHidden/>
            <w:sz w:val="24"/>
            <w:szCs w:val="24"/>
          </w:rPr>
          <w:fldChar w:fldCharType="separate"/>
        </w:r>
        <w:r w:rsidR="0031682C">
          <w:rPr>
            <w:noProof/>
            <w:webHidden/>
            <w:sz w:val="24"/>
            <w:szCs w:val="24"/>
          </w:rPr>
          <w:t>13</w:t>
        </w:r>
        <w:r w:rsidRPr="0028512E">
          <w:rPr>
            <w:noProof/>
            <w:webHidden/>
            <w:sz w:val="24"/>
            <w:szCs w:val="24"/>
          </w:rPr>
          <w:fldChar w:fldCharType="end"/>
        </w:r>
      </w:hyperlink>
    </w:p>
    <w:p w14:paraId="6AB9883E" w14:textId="5FBA19DB" w:rsidR="00E35D1B" w:rsidRPr="002032F8" w:rsidRDefault="00E35D1B">
      <w:pPr>
        <w:pStyle w:val="TOC2"/>
        <w:tabs>
          <w:tab w:val="left" w:pos="1200"/>
          <w:tab w:val="right" w:leader="dot" w:pos="9020"/>
        </w:tabs>
        <w:rPr>
          <w:rFonts w:asciiTheme="minorHAnsi" w:eastAsiaTheme="minorEastAsia" w:hAnsiTheme="minorHAnsi" w:cstheme="minorBidi"/>
          <w:noProof/>
          <w:kern w:val="2"/>
          <w:sz w:val="24"/>
          <w:szCs w:val="24"/>
          <w:lang w:val="en-GB" w:eastAsia="en-GB"/>
          <w14:ligatures w14:val="standardContextual"/>
        </w:rPr>
      </w:pPr>
      <w:hyperlink w:anchor="_Toc200227474" w:history="1">
        <w:r w:rsidRPr="0028512E">
          <w:rPr>
            <w:rStyle w:val="Hyperlink"/>
            <w:noProof/>
            <w:sz w:val="24"/>
            <w:szCs w:val="24"/>
          </w:rPr>
          <w:t>14.</w:t>
        </w:r>
        <w:r w:rsidRPr="002032F8">
          <w:rPr>
            <w:rFonts w:asciiTheme="minorHAnsi" w:eastAsiaTheme="minorEastAsia" w:hAnsiTheme="minorHAnsi" w:cstheme="minorBidi"/>
            <w:noProof/>
            <w:kern w:val="2"/>
            <w:sz w:val="24"/>
            <w:szCs w:val="24"/>
            <w:lang w:val="en-GB" w:eastAsia="en-GB"/>
            <w14:ligatures w14:val="standardContextual"/>
          </w:rPr>
          <w:tab/>
        </w:r>
        <w:r w:rsidRPr="0028512E">
          <w:rPr>
            <w:rStyle w:val="Hyperlink"/>
            <w:noProof/>
            <w:sz w:val="24"/>
            <w:szCs w:val="24"/>
          </w:rPr>
          <w:t>Implementation</w:t>
        </w:r>
        <w:r w:rsidRPr="0028512E">
          <w:rPr>
            <w:noProof/>
            <w:webHidden/>
            <w:sz w:val="24"/>
            <w:szCs w:val="24"/>
          </w:rPr>
          <w:tab/>
        </w:r>
        <w:r w:rsidRPr="0028512E">
          <w:rPr>
            <w:noProof/>
            <w:webHidden/>
            <w:sz w:val="24"/>
            <w:szCs w:val="24"/>
          </w:rPr>
          <w:fldChar w:fldCharType="begin"/>
        </w:r>
        <w:r w:rsidRPr="0028512E">
          <w:rPr>
            <w:noProof/>
            <w:webHidden/>
            <w:sz w:val="24"/>
            <w:szCs w:val="24"/>
          </w:rPr>
          <w:instrText xml:space="preserve"> PAGEREF _Toc200227474 \h </w:instrText>
        </w:r>
        <w:r w:rsidRPr="0028512E">
          <w:rPr>
            <w:noProof/>
            <w:webHidden/>
            <w:sz w:val="24"/>
            <w:szCs w:val="24"/>
          </w:rPr>
        </w:r>
        <w:r w:rsidRPr="0028512E">
          <w:rPr>
            <w:noProof/>
            <w:webHidden/>
            <w:sz w:val="24"/>
            <w:szCs w:val="24"/>
          </w:rPr>
          <w:fldChar w:fldCharType="separate"/>
        </w:r>
        <w:r w:rsidR="0031682C">
          <w:rPr>
            <w:noProof/>
            <w:webHidden/>
            <w:sz w:val="24"/>
            <w:szCs w:val="24"/>
          </w:rPr>
          <w:t>13</w:t>
        </w:r>
        <w:r w:rsidRPr="0028512E">
          <w:rPr>
            <w:noProof/>
            <w:webHidden/>
            <w:sz w:val="24"/>
            <w:szCs w:val="24"/>
          </w:rPr>
          <w:fldChar w:fldCharType="end"/>
        </w:r>
      </w:hyperlink>
    </w:p>
    <w:p w14:paraId="38B65A4B" w14:textId="6AAC9AE5" w:rsidR="0027699B" w:rsidRDefault="00B339BE" w:rsidP="00B94396">
      <w:pPr>
        <w:tabs>
          <w:tab w:val="left" w:pos="284"/>
          <w:tab w:val="right" w:leader="dot" w:pos="9639"/>
        </w:tabs>
        <w:spacing w:after="240" w:line="360" w:lineRule="auto"/>
        <w:ind w:right="491"/>
        <w:rPr>
          <w:szCs w:val="24"/>
        </w:rPr>
      </w:pPr>
      <w:r w:rsidRPr="00C33627">
        <w:rPr>
          <w:szCs w:val="24"/>
        </w:rPr>
        <w:fldChar w:fldCharType="end"/>
      </w:r>
    </w:p>
    <w:p w14:paraId="3F685162" w14:textId="77777777" w:rsidR="0027699B" w:rsidRDefault="0027699B">
      <w:pPr>
        <w:spacing w:before="0" w:after="0"/>
        <w:rPr>
          <w:szCs w:val="24"/>
        </w:rPr>
      </w:pPr>
      <w:r>
        <w:rPr>
          <w:szCs w:val="24"/>
        </w:rPr>
        <w:br w:type="page"/>
      </w:r>
    </w:p>
    <w:p w14:paraId="7F5F5DB6" w14:textId="77777777" w:rsidR="00E3487F" w:rsidRDefault="00E3487F" w:rsidP="00B94396">
      <w:pPr>
        <w:tabs>
          <w:tab w:val="left" w:pos="284"/>
          <w:tab w:val="right" w:leader="dot" w:pos="9639"/>
        </w:tabs>
        <w:spacing w:after="240" w:line="360" w:lineRule="auto"/>
        <w:ind w:right="491"/>
        <w:rPr>
          <w:szCs w:val="24"/>
        </w:rPr>
      </w:pPr>
    </w:p>
    <w:p w14:paraId="0ADBA5AB" w14:textId="40E2A8F3" w:rsidR="005A099A" w:rsidRPr="00935B4E" w:rsidRDefault="00B339BE" w:rsidP="00935B4E">
      <w:pPr>
        <w:pStyle w:val="Heading2"/>
        <w:spacing w:after="480" w:line="360" w:lineRule="auto"/>
      </w:pPr>
      <w:bookmarkStart w:id="4" w:name="_Toc200227461"/>
      <w:r w:rsidRPr="00935B4E">
        <w:t>1</w:t>
      </w:r>
      <w:r w:rsidR="00316EC4" w:rsidRPr="00935B4E">
        <w:t>.</w:t>
      </w:r>
      <w:r w:rsidR="009E3C89" w:rsidRPr="00935B4E">
        <w:tab/>
      </w:r>
      <w:bookmarkStart w:id="5" w:name="_Hlk144730079"/>
      <w:bookmarkEnd w:id="3"/>
      <w:r w:rsidR="008C79D5" w:rsidRPr="00935B4E">
        <w:t>Scope</w:t>
      </w:r>
      <w:bookmarkEnd w:id="4"/>
    </w:p>
    <w:p w14:paraId="0C0D2C52" w14:textId="2F0DA3EA" w:rsidR="005E674A" w:rsidRPr="00935B4E" w:rsidRDefault="005E674A" w:rsidP="00935B4E">
      <w:pPr>
        <w:spacing w:line="360" w:lineRule="auto"/>
        <w:ind w:left="720"/>
      </w:pPr>
      <w:bookmarkStart w:id="6" w:name="_Toc134787411"/>
      <w:bookmarkStart w:id="7" w:name="_Toc134788218"/>
      <w:bookmarkStart w:id="8" w:name="_Toc134789734"/>
      <w:bookmarkEnd w:id="5"/>
      <w:r w:rsidRPr="00935B4E">
        <w:t>This policy outlines Ealing Council’s approach to gas safety and applies to all housing stock owned or managed by Ealing Council</w:t>
      </w:r>
      <w:r w:rsidR="0027699B">
        <w:t xml:space="preserve">. </w:t>
      </w:r>
      <w:r w:rsidRPr="00935B4E">
        <w:t xml:space="preserve">This policy also covers those homes managed by </w:t>
      </w:r>
      <w:r w:rsidR="0002072F" w:rsidRPr="0002072F">
        <w:t xml:space="preserve">South Acton Community Builders Co-operative </w:t>
      </w:r>
      <w:r w:rsidR="0002072F">
        <w:t>(</w:t>
      </w:r>
      <w:r w:rsidRPr="00935B4E">
        <w:t>SCBC</w:t>
      </w:r>
      <w:r w:rsidR="0002072F">
        <w:t>)</w:t>
      </w:r>
      <w:r w:rsidRPr="00935B4E">
        <w:t xml:space="preserve"> that contain gas appliances supplied by </w:t>
      </w:r>
      <w:r w:rsidR="007D28EB">
        <w:t>the</w:t>
      </w:r>
      <w:r w:rsidRPr="00935B4E">
        <w:t xml:space="preserve"> </w:t>
      </w:r>
      <w:r w:rsidR="007D28EB">
        <w:t>c</w:t>
      </w:r>
      <w:r w:rsidRPr="00935B4E">
        <w:t>ouncil.</w:t>
      </w:r>
    </w:p>
    <w:p w14:paraId="3EAA837B" w14:textId="6DF15128" w:rsidR="005E674A" w:rsidRPr="00935B4E" w:rsidRDefault="005E674A" w:rsidP="00935B4E">
      <w:pPr>
        <w:spacing w:line="360" w:lineRule="auto"/>
        <w:ind w:left="720"/>
      </w:pPr>
      <w:r w:rsidRPr="00935B4E">
        <w:t>This policy applies to all properties where Ealing Council have a responsibility for gas safety, and any heating appliance that could produce carbon monoxide.</w:t>
      </w:r>
    </w:p>
    <w:p w14:paraId="72D7DA69" w14:textId="5DE2D073" w:rsidR="005E674A" w:rsidRPr="00935B4E" w:rsidRDefault="005E674A" w:rsidP="00935B4E">
      <w:pPr>
        <w:spacing w:line="360" w:lineRule="auto"/>
        <w:ind w:left="720"/>
        <w:rPr>
          <w:color w:val="000000"/>
          <w:szCs w:val="24"/>
        </w:rPr>
      </w:pPr>
      <w:r w:rsidRPr="00935B4E">
        <w:t>This policy also incorporates items such as boilers, fires, flues (concealed and exposed), chimneys and associated pipework.</w:t>
      </w:r>
    </w:p>
    <w:p w14:paraId="666AF099" w14:textId="2CD5C736" w:rsidR="009045B5" w:rsidRPr="00935B4E" w:rsidRDefault="009045B5" w:rsidP="00935B4E">
      <w:pPr>
        <w:spacing w:line="360" w:lineRule="auto"/>
        <w:ind w:left="720"/>
        <w:rPr>
          <w:color w:val="000000"/>
          <w:szCs w:val="24"/>
        </w:rPr>
      </w:pPr>
      <w:r w:rsidRPr="00935B4E">
        <w:rPr>
          <w:color w:val="000000"/>
          <w:szCs w:val="24"/>
        </w:rPr>
        <w:t>A</w:t>
      </w:r>
      <w:r w:rsidR="005E674A" w:rsidRPr="00935B4E">
        <w:rPr>
          <w:color w:val="000000"/>
          <w:szCs w:val="24"/>
        </w:rPr>
        <w:t>l</w:t>
      </w:r>
      <w:r w:rsidRPr="00935B4E">
        <w:rPr>
          <w:color w:val="000000"/>
          <w:szCs w:val="24"/>
        </w:rPr>
        <w:t xml:space="preserve">l references to Ealing Council within this document refer to the </w:t>
      </w:r>
      <w:r w:rsidR="00D96A3B" w:rsidRPr="00935B4E">
        <w:rPr>
          <w:color w:val="000000"/>
          <w:szCs w:val="24"/>
        </w:rPr>
        <w:t>c</w:t>
      </w:r>
      <w:r w:rsidRPr="00935B4E">
        <w:rPr>
          <w:color w:val="000000"/>
          <w:szCs w:val="24"/>
        </w:rPr>
        <w:t>ouncil’s function as a landlord of residential property.</w:t>
      </w:r>
    </w:p>
    <w:p w14:paraId="67B66938" w14:textId="426BA056" w:rsidR="008C79D5" w:rsidRPr="00935B4E" w:rsidRDefault="008C79D5" w:rsidP="00935B4E">
      <w:pPr>
        <w:pStyle w:val="Heading2"/>
        <w:spacing w:line="360" w:lineRule="auto"/>
      </w:pPr>
      <w:bookmarkStart w:id="9" w:name="_Toc200227462"/>
      <w:bookmarkStart w:id="10" w:name="_Hlk172892136"/>
      <w:r w:rsidRPr="00935B4E">
        <w:t>2</w:t>
      </w:r>
      <w:proofErr w:type="gramStart"/>
      <w:r w:rsidRPr="00935B4E">
        <w:t xml:space="preserve">. </w:t>
      </w:r>
      <w:r w:rsidR="00755FC3" w:rsidRPr="00935B4E">
        <w:tab/>
      </w:r>
      <w:r w:rsidRPr="00935B4E">
        <w:t>Aims</w:t>
      </w:r>
      <w:proofErr w:type="gramEnd"/>
      <w:r w:rsidRPr="00935B4E">
        <w:t xml:space="preserve"> and objectives</w:t>
      </w:r>
      <w:bookmarkEnd w:id="6"/>
      <w:bookmarkEnd w:id="7"/>
      <w:bookmarkEnd w:id="8"/>
      <w:bookmarkEnd w:id="9"/>
    </w:p>
    <w:p w14:paraId="6E7B08CA" w14:textId="3956090C" w:rsidR="005E674A" w:rsidRPr="00935B4E" w:rsidRDefault="005E674A" w:rsidP="00935B4E">
      <w:pPr>
        <w:spacing w:line="360" w:lineRule="auto"/>
        <w:ind w:left="720"/>
        <w:rPr>
          <w:szCs w:val="24"/>
        </w:rPr>
      </w:pPr>
      <w:bookmarkStart w:id="11" w:name="_Toc134787412"/>
      <w:bookmarkStart w:id="12" w:name="_Toc134788219"/>
      <w:bookmarkStart w:id="13" w:name="_Toc134789735"/>
      <w:bookmarkEnd w:id="10"/>
      <w:r w:rsidRPr="00935B4E">
        <w:rPr>
          <w:szCs w:val="24"/>
        </w:rPr>
        <w:t xml:space="preserve">The aim of this policy is to show how </w:t>
      </w:r>
      <w:r w:rsidR="00B113C6">
        <w:rPr>
          <w:szCs w:val="24"/>
        </w:rPr>
        <w:t xml:space="preserve">we </w:t>
      </w:r>
      <w:r w:rsidRPr="00935B4E">
        <w:rPr>
          <w:szCs w:val="24"/>
        </w:rPr>
        <w:t>will keep our customers safe by ensuring we meet our legal and regulatory requirements for undertaking landlord gas safety checks as set out by the Gas Safety (Installation and Use) Regulations 1998 (as amended). All landlords have a legal responsibility to comply with these regulations, which are enforced by the Health and Safety Executive (HSE).</w:t>
      </w:r>
    </w:p>
    <w:p w14:paraId="1F2F6A7F" w14:textId="34A5DE50" w:rsidR="005E674A" w:rsidRPr="00935B4E" w:rsidRDefault="006536EC" w:rsidP="00935B4E">
      <w:pPr>
        <w:spacing w:line="360" w:lineRule="auto"/>
        <w:ind w:left="720"/>
        <w:rPr>
          <w:szCs w:val="24"/>
        </w:rPr>
      </w:pPr>
      <w:r>
        <w:rPr>
          <w:szCs w:val="24"/>
        </w:rPr>
        <w:t>We</w:t>
      </w:r>
      <w:r w:rsidR="005E674A" w:rsidRPr="00935B4E">
        <w:rPr>
          <w:szCs w:val="24"/>
        </w:rPr>
        <w:t xml:space="preserve"> will conform to all relevant legal obligations and regulatory requirements on gas safety in any home where we are the landlord with responsibility for gas safety.</w:t>
      </w:r>
    </w:p>
    <w:p w14:paraId="301AC58F" w14:textId="0D7CB9BA" w:rsidR="005E674A" w:rsidRPr="00935B4E" w:rsidRDefault="00BB70A1" w:rsidP="00935B4E">
      <w:pPr>
        <w:spacing w:line="360" w:lineRule="auto"/>
        <w:ind w:left="720"/>
        <w:rPr>
          <w:szCs w:val="24"/>
        </w:rPr>
      </w:pPr>
      <w:r>
        <w:rPr>
          <w:szCs w:val="24"/>
        </w:rPr>
        <w:lastRenderedPageBreak/>
        <w:t>We</w:t>
      </w:r>
      <w:r w:rsidR="005E674A" w:rsidRPr="00935B4E">
        <w:rPr>
          <w:szCs w:val="24"/>
        </w:rPr>
        <w:t xml:space="preserve"> will ensure compliance with the law and regulations by having comprehensive gas safety procedures. We will be flexible (while remaining compliant) where we need to meet the specific needs of customers to keep them safe.</w:t>
      </w:r>
    </w:p>
    <w:p w14:paraId="4E91B8FA" w14:textId="33312ACE" w:rsidR="005E674A" w:rsidRPr="00935B4E" w:rsidRDefault="005E674A" w:rsidP="00935B4E">
      <w:pPr>
        <w:spacing w:line="360" w:lineRule="auto"/>
        <w:ind w:left="720"/>
        <w:rPr>
          <w:szCs w:val="24"/>
        </w:rPr>
      </w:pPr>
      <w:r w:rsidRPr="00935B4E">
        <w:rPr>
          <w:szCs w:val="24"/>
        </w:rPr>
        <w:t xml:space="preserve">We will ensure arrangements are in place so </w:t>
      </w:r>
      <w:r w:rsidR="00D76B9B">
        <w:rPr>
          <w:szCs w:val="24"/>
        </w:rPr>
        <w:t xml:space="preserve">that </w:t>
      </w:r>
      <w:r w:rsidRPr="00935B4E">
        <w:rPr>
          <w:szCs w:val="24"/>
        </w:rPr>
        <w:t>all homes where we have gas safety obligations have an annual gas safety check.</w:t>
      </w:r>
    </w:p>
    <w:p w14:paraId="1F78DC28" w14:textId="7187552D" w:rsidR="005E674A" w:rsidRPr="00935B4E" w:rsidRDefault="005E674A" w:rsidP="00935B4E">
      <w:pPr>
        <w:spacing w:line="360" w:lineRule="auto"/>
        <w:ind w:left="720"/>
        <w:rPr>
          <w:szCs w:val="24"/>
        </w:rPr>
      </w:pPr>
      <w:r w:rsidRPr="00935B4E">
        <w:rPr>
          <w:szCs w:val="24"/>
        </w:rPr>
        <w:t xml:space="preserve">We will issue a copy of the latest gas safety check record to existing tenants within 14 days, or to any new tenant at sign up.   </w:t>
      </w:r>
    </w:p>
    <w:p w14:paraId="289F3EC6" w14:textId="48F32B35" w:rsidR="005E674A" w:rsidRPr="00935B4E" w:rsidRDefault="005E674A" w:rsidP="00935B4E">
      <w:pPr>
        <w:spacing w:line="360" w:lineRule="auto"/>
        <w:ind w:left="720"/>
        <w:rPr>
          <w:szCs w:val="24"/>
        </w:rPr>
      </w:pPr>
      <w:r w:rsidRPr="00935B4E">
        <w:rPr>
          <w:szCs w:val="24"/>
        </w:rPr>
        <w:t>We will display a copy of the latest gas safety certificate in a common area of a building where the gas appliance serves a communal heating system to multiple homes.</w:t>
      </w:r>
    </w:p>
    <w:p w14:paraId="4B4FD21A" w14:textId="64E26A3E" w:rsidR="005E674A" w:rsidRPr="00935B4E" w:rsidRDefault="005E674A" w:rsidP="00935B4E">
      <w:pPr>
        <w:spacing w:line="360" w:lineRule="auto"/>
        <w:ind w:firstLine="720"/>
        <w:rPr>
          <w:szCs w:val="24"/>
        </w:rPr>
      </w:pPr>
      <w:r w:rsidRPr="00935B4E">
        <w:rPr>
          <w:szCs w:val="24"/>
        </w:rPr>
        <w:t>We will undertake gas repairs in line with our repairs policy.</w:t>
      </w:r>
    </w:p>
    <w:p w14:paraId="1BB33AB5" w14:textId="77777777" w:rsidR="00F23714" w:rsidRPr="00935B4E" w:rsidRDefault="00F23714" w:rsidP="00935B4E">
      <w:pPr>
        <w:spacing w:line="360" w:lineRule="auto"/>
        <w:rPr>
          <w:szCs w:val="24"/>
        </w:rPr>
      </w:pPr>
    </w:p>
    <w:p w14:paraId="5BBB0C35" w14:textId="2C10E419" w:rsidR="005E674A" w:rsidRPr="00935B4E" w:rsidRDefault="00F23714" w:rsidP="00935B4E">
      <w:pPr>
        <w:pStyle w:val="Heading2"/>
        <w:spacing w:line="360" w:lineRule="auto"/>
        <w:rPr>
          <w:szCs w:val="24"/>
        </w:rPr>
      </w:pPr>
      <w:bookmarkStart w:id="14" w:name="_Toc200227463"/>
      <w:r w:rsidRPr="00935B4E">
        <w:t>3</w:t>
      </w:r>
      <w:proofErr w:type="gramStart"/>
      <w:r w:rsidRPr="00935B4E">
        <w:t xml:space="preserve">. </w:t>
      </w:r>
      <w:r w:rsidRPr="00935B4E">
        <w:tab/>
        <w:t>Policy</w:t>
      </w:r>
      <w:proofErr w:type="gramEnd"/>
      <w:r w:rsidRPr="00935B4E">
        <w:t xml:space="preserve"> statement</w:t>
      </w:r>
      <w:bookmarkEnd w:id="14"/>
    </w:p>
    <w:p w14:paraId="6A64FDFA" w14:textId="31784851" w:rsidR="009045B5" w:rsidRPr="00935B4E" w:rsidRDefault="009045B5" w:rsidP="00935B4E">
      <w:pPr>
        <w:spacing w:line="360" w:lineRule="auto"/>
        <w:ind w:left="720"/>
      </w:pPr>
      <w:r w:rsidRPr="00935B4E">
        <w:t xml:space="preserve">Ealing Council is committed to the provision of safe housing for its tenants and leaseholders. It is the </w:t>
      </w:r>
      <w:r w:rsidR="008B1853" w:rsidRPr="00935B4E">
        <w:t>c</w:t>
      </w:r>
      <w:r w:rsidRPr="00935B4E">
        <w:t xml:space="preserve">ouncil’s duty to comply with all relevant statutory and regulatory provisions and have a relevant policy that comprehensively deals with the subject of gas safety from a landlord perspective.  </w:t>
      </w:r>
    </w:p>
    <w:p w14:paraId="077EDFF1" w14:textId="1A97BD1A" w:rsidR="009045B5" w:rsidRPr="00935B4E" w:rsidRDefault="009045B5" w:rsidP="00935B4E">
      <w:pPr>
        <w:spacing w:line="360" w:lineRule="auto"/>
        <w:ind w:left="720"/>
        <w:rPr>
          <w:color w:val="000000"/>
        </w:rPr>
      </w:pPr>
      <w:r w:rsidRPr="00935B4E">
        <w:rPr>
          <w:color w:val="000000"/>
        </w:rPr>
        <w:t>The main duties as a landlord are set out in Regulation 36 requiring landlords to:</w:t>
      </w:r>
    </w:p>
    <w:p w14:paraId="2961DC0C" w14:textId="3DD28963" w:rsidR="009045B5" w:rsidRPr="00935B4E" w:rsidRDefault="000A3EAD" w:rsidP="00935B4E">
      <w:pPr>
        <w:pStyle w:val="ListParagraph"/>
        <w:numPr>
          <w:ilvl w:val="0"/>
          <w:numId w:val="3"/>
        </w:numPr>
        <w:rPr>
          <w:color w:val="000000"/>
        </w:rPr>
      </w:pPr>
      <w:r w:rsidRPr="00935B4E">
        <w:rPr>
          <w:color w:val="000000"/>
        </w:rPr>
        <w:t>e</w:t>
      </w:r>
      <w:r w:rsidR="009045B5" w:rsidRPr="00935B4E">
        <w:rPr>
          <w:color w:val="000000"/>
        </w:rPr>
        <w:t>nsure gas fittings and flues are maintained in a safe condition. Gas appliances should be serviced in accordance with the manufacturer’s instructions</w:t>
      </w:r>
    </w:p>
    <w:p w14:paraId="2A437461" w14:textId="770AF493" w:rsidR="009045B5" w:rsidRPr="00935B4E" w:rsidRDefault="000A3EAD" w:rsidP="00935B4E">
      <w:pPr>
        <w:pStyle w:val="ListParagraph"/>
        <w:numPr>
          <w:ilvl w:val="0"/>
          <w:numId w:val="3"/>
        </w:numPr>
        <w:rPr>
          <w:color w:val="000000"/>
        </w:rPr>
      </w:pPr>
      <w:r w:rsidRPr="00935B4E">
        <w:rPr>
          <w:color w:val="000000"/>
        </w:rPr>
        <w:t>e</w:t>
      </w:r>
      <w:r w:rsidR="009045B5" w:rsidRPr="00935B4E">
        <w:rPr>
          <w:color w:val="000000"/>
        </w:rPr>
        <w:t xml:space="preserve">nsure the annual safety check is carried out on each gas appliance and </w:t>
      </w:r>
      <w:proofErr w:type="gramStart"/>
      <w:r w:rsidR="009045B5" w:rsidRPr="00935B4E">
        <w:rPr>
          <w:color w:val="000000"/>
        </w:rPr>
        <w:t>flue</w:t>
      </w:r>
      <w:proofErr w:type="gramEnd"/>
      <w:r w:rsidR="009045B5" w:rsidRPr="00935B4E">
        <w:rPr>
          <w:color w:val="000000"/>
        </w:rPr>
        <w:t xml:space="preserve"> within 12 months of the previous </w:t>
      </w:r>
      <w:r w:rsidR="009045B5" w:rsidRPr="00935B4E">
        <w:rPr>
          <w:color w:val="000000"/>
        </w:rPr>
        <w:lastRenderedPageBreak/>
        <w:t>safety check</w:t>
      </w:r>
    </w:p>
    <w:p w14:paraId="78D473AB" w14:textId="12AFF732" w:rsidR="009045B5" w:rsidRPr="00935B4E" w:rsidRDefault="000A3EAD" w:rsidP="00935B4E">
      <w:pPr>
        <w:pStyle w:val="ListParagraph"/>
        <w:numPr>
          <w:ilvl w:val="0"/>
          <w:numId w:val="3"/>
        </w:numPr>
        <w:rPr>
          <w:color w:val="000000"/>
        </w:rPr>
      </w:pPr>
      <w:r w:rsidRPr="00935B4E">
        <w:rPr>
          <w:color w:val="000000"/>
        </w:rPr>
        <w:t>h</w:t>
      </w:r>
      <w:r w:rsidR="009045B5" w:rsidRPr="00935B4E">
        <w:rPr>
          <w:color w:val="000000"/>
        </w:rPr>
        <w:t xml:space="preserve">ave all installation, maintenance and safety checks carried out by a </w:t>
      </w:r>
      <w:r w:rsidR="008B1853" w:rsidRPr="00935B4E">
        <w:rPr>
          <w:color w:val="000000"/>
        </w:rPr>
        <w:t>g</w:t>
      </w:r>
      <w:r w:rsidR="009045B5" w:rsidRPr="00935B4E">
        <w:rPr>
          <w:color w:val="000000"/>
        </w:rPr>
        <w:t xml:space="preserve">as </w:t>
      </w:r>
      <w:r w:rsidR="008B1853" w:rsidRPr="00935B4E">
        <w:rPr>
          <w:color w:val="000000"/>
        </w:rPr>
        <w:t>s</w:t>
      </w:r>
      <w:r w:rsidR="009045B5" w:rsidRPr="00935B4E">
        <w:rPr>
          <w:color w:val="000000"/>
        </w:rPr>
        <w:t>afe registered engineer</w:t>
      </w:r>
    </w:p>
    <w:p w14:paraId="09665D70" w14:textId="737EBDA5" w:rsidR="009045B5" w:rsidRPr="00935B4E" w:rsidRDefault="000A3EAD" w:rsidP="00935B4E">
      <w:pPr>
        <w:pStyle w:val="ListParagraph"/>
        <w:numPr>
          <w:ilvl w:val="0"/>
          <w:numId w:val="3"/>
        </w:numPr>
        <w:rPr>
          <w:color w:val="000000"/>
        </w:rPr>
      </w:pPr>
      <w:r w:rsidRPr="00935B4E">
        <w:rPr>
          <w:color w:val="000000"/>
        </w:rPr>
        <w:t>k</w:t>
      </w:r>
      <w:r w:rsidR="009045B5" w:rsidRPr="00935B4E">
        <w:rPr>
          <w:color w:val="000000"/>
        </w:rPr>
        <w:t xml:space="preserve">eep a record of each safety check for at least </w:t>
      </w:r>
      <w:r w:rsidRPr="00935B4E">
        <w:rPr>
          <w:color w:val="000000"/>
        </w:rPr>
        <w:t>2</w:t>
      </w:r>
      <w:r w:rsidR="009045B5" w:rsidRPr="00935B4E">
        <w:rPr>
          <w:color w:val="000000"/>
        </w:rPr>
        <w:t xml:space="preserve"> years</w:t>
      </w:r>
    </w:p>
    <w:p w14:paraId="371B3DF9" w14:textId="35AB80E2" w:rsidR="009045B5" w:rsidRPr="00935B4E" w:rsidRDefault="000A3EAD" w:rsidP="00935B4E">
      <w:pPr>
        <w:pStyle w:val="ListParagraph"/>
        <w:numPr>
          <w:ilvl w:val="0"/>
          <w:numId w:val="3"/>
        </w:numPr>
        <w:rPr>
          <w:color w:val="000000"/>
        </w:rPr>
      </w:pPr>
      <w:r w:rsidRPr="00935B4E">
        <w:rPr>
          <w:color w:val="000000"/>
        </w:rPr>
        <w:t>i</w:t>
      </w:r>
      <w:r w:rsidR="009045B5" w:rsidRPr="00935B4E">
        <w:rPr>
          <w:color w:val="000000"/>
        </w:rPr>
        <w:t>ssue a copy of the latest safety check record to existing tenants within 28 days of the check being completed, or to any new tenant when they begin their new tenancy</w:t>
      </w:r>
    </w:p>
    <w:p w14:paraId="4E3C2759" w14:textId="628EC84D" w:rsidR="009045B5" w:rsidRPr="00935B4E" w:rsidRDefault="000A3EAD" w:rsidP="00935B4E">
      <w:pPr>
        <w:pStyle w:val="ListParagraph"/>
        <w:numPr>
          <w:ilvl w:val="0"/>
          <w:numId w:val="3"/>
        </w:numPr>
        <w:rPr>
          <w:color w:val="000000"/>
        </w:rPr>
      </w:pPr>
      <w:r w:rsidRPr="00935B4E">
        <w:rPr>
          <w:color w:val="000000"/>
        </w:rPr>
        <w:t>d</w:t>
      </w:r>
      <w:r w:rsidR="009045B5" w:rsidRPr="00935B4E">
        <w:rPr>
          <w:color w:val="000000"/>
        </w:rPr>
        <w:t>isplay a copy of the latest safety check record in a common area of a building where the gas appliance serves a communal heating system to multiple homes</w:t>
      </w:r>
    </w:p>
    <w:p w14:paraId="74BE51F4" w14:textId="313A24DE" w:rsidR="009045B5" w:rsidRPr="00935B4E" w:rsidRDefault="009045B5" w:rsidP="00935B4E">
      <w:pPr>
        <w:spacing w:line="360" w:lineRule="auto"/>
        <w:ind w:left="720"/>
      </w:pPr>
      <w:r w:rsidRPr="00935B4E">
        <w:t xml:space="preserve">To meet these requirements, </w:t>
      </w:r>
      <w:r w:rsidR="00707837">
        <w:t>we</w:t>
      </w:r>
      <w:r w:rsidRPr="00935B4E">
        <w:t xml:space="preserve"> will ensure that a specific contract is in </w:t>
      </w:r>
      <w:proofErr w:type="gramStart"/>
      <w:r w:rsidRPr="00935B4E">
        <w:t>place</w:t>
      </w:r>
      <w:proofErr w:type="gramEnd"/>
      <w:r w:rsidRPr="00935B4E">
        <w:t xml:space="preserve"> employing a specialist </w:t>
      </w:r>
      <w:r w:rsidR="000A3EAD" w:rsidRPr="00935B4E">
        <w:t>g</w:t>
      </w:r>
      <w:r w:rsidRPr="00935B4E">
        <w:t xml:space="preserve">as </w:t>
      </w:r>
      <w:r w:rsidR="000A3EAD" w:rsidRPr="00935B4E">
        <w:t>s</w:t>
      </w:r>
      <w:r w:rsidRPr="00935B4E">
        <w:t xml:space="preserve">afe </w:t>
      </w:r>
      <w:r w:rsidR="000A3EAD" w:rsidRPr="00935B4E">
        <w:t>r</w:t>
      </w:r>
      <w:r w:rsidRPr="00935B4E">
        <w:t xml:space="preserve">egistered contractor to undertake work on the systems and appliances for which it is responsible. This will allow for </w:t>
      </w:r>
      <w:proofErr w:type="gramStart"/>
      <w:r w:rsidRPr="00935B4E">
        <w:t>servicing</w:t>
      </w:r>
      <w:proofErr w:type="gramEnd"/>
      <w:r w:rsidRPr="00935B4E">
        <w:t xml:space="preserve"> and associated installation </w:t>
      </w:r>
      <w:proofErr w:type="gramStart"/>
      <w:r w:rsidRPr="00935B4E">
        <w:t>works</w:t>
      </w:r>
      <w:proofErr w:type="gramEnd"/>
      <w:r w:rsidRPr="00935B4E">
        <w:t xml:space="preserve"> and will cover all aspects of gas repair including safety inspections. </w:t>
      </w:r>
    </w:p>
    <w:p w14:paraId="0ECE5887" w14:textId="1F64EEE7" w:rsidR="00F23714" w:rsidRPr="00935B4E" w:rsidRDefault="00935B4E" w:rsidP="00935B4E">
      <w:pPr>
        <w:pStyle w:val="Heading2"/>
        <w:spacing w:line="360" w:lineRule="auto"/>
        <w:ind w:left="720" w:hanging="720"/>
      </w:pPr>
      <w:bookmarkStart w:id="15" w:name="_Toc200227464"/>
      <w:r>
        <w:t>4</w:t>
      </w:r>
      <w:proofErr w:type="gramStart"/>
      <w:r w:rsidR="00F23714" w:rsidRPr="00935B4E">
        <w:t xml:space="preserve">. </w:t>
      </w:r>
      <w:r w:rsidR="00F23714" w:rsidRPr="00935B4E">
        <w:tab/>
        <w:t>Robust</w:t>
      </w:r>
      <w:proofErr w:type="gramEnd"/>
      <w:r w:rsidR="00F23714" w:rsidRPr="00935B4E">
        <w:t xml:space="preserve"> safety inspection regime on Ealing owned gas appliances</w:t>
      </w:r>
      <w:bookmarkEnd w:id="15"/>
    </w:p>
    <w:p w14:paraId="6E071ED1" w14:textId="6F5A621D" w:rsidR="00F23714" w:rsidRPr="00935B4E" w:rsidRDefault="00F23714" w:rsidP="00935B4E">
      <w:pPr>
        <w:spacing w:line="360" w:lineRule="auto"/>
        <w:ind w:left="720"/>
        <w:rPr>
          <w:szCs w:val="24"/>
        </w:rPr>
      </w:pPr>
      <w:r w:rsidRPr="00935B4E">
        <w:rPr>
          <w:szCs w:val="24"/>
        </w:rPr>
        <w:t xml:space="preserve">We will do everything that we can to ensure that we are aware of all instances where gas appliances, </w:t>
      </w:r>
      <w:proofErr w:type="gramStart"/>
      <w:r w:rsidRPr="00935B4E">
        <w:rPr>
          <w:szCs w:val="24"/>
        </w:rPr>
        <w:t>carcass</w:t>
      </w:r>
      <w:proofErr w:type="gramEnd"/>
      <w:r w:rsidRPr="00935B4E">
        <w:rPr>
          <w:szCs w:val="24"/>
        </w:rPr>
        <w:t xml:space="preserve"> (pipe work) or meters are present in our homes.</w:t>
      </w:r>
    </w:p>
    <w:p w14:paraId="7627C933" w14:textId="09353077" w:rsidR="00F23714" w:rsidRPr="00935B4E" w:rsidRDefault="00F23714" w:rsidP="00935B4E">
      <w:pPr>
        <w:spacing w:line="360" w:lineRule="auto"/>
        <w:ind w:left="720"/>
        <w:rPr>
          <w:szCs w:val="24"/>
        </w:rPr>
      </w:pPr>
      <w:r w:rsidRPr="00935B4E">
        <w:rPr>
          <w:szCs w:val="24"/>
        </w:rPr>
        <w:t>In general, residents are responsible for the safety of cookers or other tenant owned installations and appliances, however, pipe work remains our responsibility.</w:t>
      </w:r>
    </w:p>
    <w:p w14:paraId="764E8315" w14:textId="1D87F35C" w:rsidR="00F23714" w:rsidRPr="00935B4E" w:rsidRDefault="00F23714" w:rsidP="00935B4E">
      <w:pPr>
        <w:spacing w:line="360" w:lineRule="auto"/>
        <w:ind w:left="720"/>
        <w:rPr>
          <w:szCs w:val="24"/>
        </w:rPr>
      </w:pPr>
      <w:r w:rsidRPr="00935B4E">
        <w:rPr>
          <w:szCs w:val="24"/>
        </w:rPr>
        <w:t xml:space="preserve">We are responsible for all other gas appliances that could be considered as fixtures. This includes but is not limited </w:t>
      </w:r>
      <w:proofErr w:type="gramStart"/>
      <w:r w:rsidRPr="00935B4E">
        <w:rPr>
          <w:szCs w:val="24"/>
        </w:rPr>
        <w:t>to,</w:t>
      </w:r>
      <w:proofErr w:type="gramEnd"/>
      <w:r w:rsidRPr="00935B4E">
        <w:rPr>
          <w:szCs w:val="24"/>
        </w:rPr>
        <w:t xml:space="preserve"> boilers, fires, water heaters, space heaters.</w:t>
      </w:r>
    </w:p>
    <w:p w14:paraId="3E52551B" w14:textId="2B8C12CF" w:rsidR="00F23714" w:rsidRPr="00935B4E" w:rsidRDefault="00F23714" w:rsidP="00935B4E">
      <w:pPr>
        <w:spacing w:line="360" w:lineRule="auto"/>
        <w:ind w:left="720"/>
        <w:rPr>
          <w:szCs w:val="24"/>
        </w:rPr>
      </w:pPr>
      <w:r w:rsidRPr="00935B4E">
        <w:rPr>
          <w:szCs w:val="24"/>
        </w:rPr>
        <w:lastRenderedPageBreak/>
        <w:t xml:space="preserve">On inspection, if any installation is found to be defective the contractor will deal with the issue using the </w:t>
      </w:r>
      <w:r w:rsidR="00A83136">
        <w:rPr>
          <w:szCs w:val="24"/>
        </w:rPr>
        <w:t>g</w:t>
      </w:r>
      <w:r w:rsidRPr="00935B4E">
        <w:rPr>
          <w:szCs w:val="24"/>
        </w:rPr>
        <w:t xml:space="preserve">as </w:t>
      </w:r>
      <w:proofErr w:type="gramStart"/>
      <w:r w:rsidR="00A83136">
        <w:rPr>
          <w:szCs w:val="24"/>
        </w:rPr>
        <w:t>i</w:t>
      </w:r>
      <w:r w:rsidRPr="00935B4E">
        <w:rPr>
          <w:szCs w:val="24"/>
        </w:rPr>
        <w:t>ndustry</w:t>
      </w:r>
      <w:proofErr w:type="gramEnd"/>
      <w:r w:rsidRPr="00935B4E">
        <w:rPr>
          <w:szCs w:val="24"/>
        </w:rPr>
        <w:t xml:space="preserve"> </w:t>
      </w:r>
      <w:r w:rsidR="00A83136">
        <w:rPr>
          <w:szCs w:val="24"/>
        </w:rPr>
        <w:t>u</w:t>
      </w:r>
      <w:r w:rsidRPr="00935B4E">
        <w:rPr>
          <w:szCs w:val="24"/>
        </w:rPr>
        <w:t xml:space="preserve">nsafe </w:t>
      </w:r>
      <w:r w:rsidR="00A83136">
        <w:rPr>
          <w:szCs w:val="24"/>
        </w:rPr>
        <w:t>s</w:t>
      </w:r>
      <w:r w:rsidRPr="00935B4E">
        <w:rPr>
          <w:szCs w:val="24"/>
        </w:rPr>
        <w:t xml:space="preserve">ituations </w:t>
      </w:r>
      <w:r w:rsidR="00A83136">
        <w:rPr>
          <w:szCs w:val="24"/>
        </w:rPr>
        <w:t>p</w:t>
      </w:r>
      <w:r w:rsidRPr="00935B4E">
        <w:rPr>
          <w:szCs w:val="24"/>
        </w:rPr>
        <w:t xml:space="preserve">rocedure (GIUSP). If they are unable to repair or replace the appliance, the gas supply to the defective appliance or installation will be terminated and relevant warning notices </w:t>
      </w:r>
      <w:proofErr w:type="gramStart"/>
      <w:r w:rsidRPr="00935B4E">
        <w:rPr>
          <w:szCs w:val="24"/>
        </w:rPr>
        <w:t>issued</w:t>
      </w:r>
      <w:proofErr w:type="gramEnd"/>
      <w:r w:rsidRPr="00935B4E">
        <w:rPr>
          <w:szCs w:val="24"/>
        </w:rPr>
        <w:t>. This procedure will be followed irrespective of appliance or installation ownership.</w:t>
      </w:r>
    </w:p>
    <w:p w14:paraId="0757C137" w14:textId="553E52D0" w:rsidR="00F23714" w:rsidRPr="00935B4E" w:rsidRDefault="00F23714" w:rsidP="00935B4E">
      <w:pPr>
        <w:spacing w:line="360" w:lineRule="auto"/>
        <w:ind w:left="720"/>
        <w:rPr>
          <w:szCs w:val="24"/>
        </w:rPr>
      </w:pPr>
      <w:r w:rsidRPr="00935B4E">
        <w:rPr>
          <w:szCs w:val="24"/>
        </w:rPr>
        <w:t xml:space="preserve">Whenever a new gas cooker or other flueless gas appliance is installed in a multi occupancy dwelling (e.g. a block of flats or </w:t>
      </w:r>
      <w:proofErr w:type="spellStart"/>
      <w:r w:rsidRPr="00935B4E">
        <w:rPr>
          <w:szCs w:val="24"/>
        </w:rPr>
        <w:t>maisonette</w:t>
      </w:r>
      <w:proofErr w:type="spellEnd"/>
      <w:r w:rsidRPr="00935B4E">
        <w:rPr>
          <w:szCs w:val="24"/>
        </w:rPr>
        <w:t xml:space="preserve">) it must have a </w:t>
      </w:r>
      <w:r w:rsidR="00162A0A">
        <w:rPr>
          <w:szCs w:val="24"/>
        </w:rPr>
        <w:t>f</w:t>
      </w:r>
      <w:r w:rsidRPr="00935B4E">
        <w:rPr>
          <w:szCs w:val="24"/>
        </w:rPr>
        <w:t xml:space="preserve">lame </w:t>
      </w:r>
      <w:r w:rsidR="00162A0A">
        <w:rPr>
          <w:szCs w:val="24"/>
        </w:rPr>
        <w:t>s</w:t>
      </w:r>
      <w:r w:rsidRPr="00935B4E">
        <w:rPr>
          <w:szCs w:val="24"/>
        </w:rPr>
        <w:t xml:space="preserve">upervision </w:t>
      </w:r>
      <w:r w:rsidR="00162A0A">
        <w:rPr>
          <w:szCs w:val="24"/>
        </w:rPr>
        <w:t>d</w:t>
      </w:r>
      <w:r w:rsidRPr="00935B4E">
        <w:rPr>
          <w:szCs w:val="24"/>
        </w:rPr>
        <w:t>evice</w:t>
      </w:r>
      <w:r w:rsidR="004C30F8">
        <w:rPr>
          <w:szCs w:val="24"/>
        </w:rPr>
        <w:t xml:space="preserve"> (FSD)</w:t>
      </w:r>
      <w:r w:rsidRPr="00935B4E">
        <w:rPr>
          <w:szCs w:val="24"/>
        </w:rPr>
        <w:t xml:space="preserve">. This will cut off the supply of gas to the burners </w:t>
      </w:r>
      <w:proofErr w:type="gramStart"/>
      <w:r w:rsidRPr="00935B4E">
        <w:rPr>
          <w:szCs w:val="24"/>
        </w:rPr>
        <w:t>in the event that</w:t>
      </w:r>
      <w:proofErr w:type="gramEnd"/>
      <w:r w:rsidRPr="00935B4E">
        <w:rPr>
          <w:szCs w:val="24"/>
        </w:rPr>
        <w:t xml:space="preserve"> the flame is extinguished unexpectedly (for example by a gust of wind).</w:t>
      </w:r>
    </w:p>
    <w:p w14:paraId="6DDAE2E2" w14:textId="2C2AA56A" w:rsidR="00F23714" w:rsidRPr="00935B4E" w:rsidRDefault="00F23714" w:rsidP="00935B4E">
      <w:pPr>
        <w:spacing w:line="360" w:lineRule="auto"/>
        <w:ind w:left="720"/>
        <w:rPr>
          <w:szCs w:val="24"/>
        </w:rPr>
      </w:pPr>
      <w:r w:rsidRPr="00935B4E">
        <w:rPr>
          <w:szCs w:val="24"/>
        </w:rPr>
        <w:t>Primarily, it is the responsibility of residents to ensure that appliances have FSDs</w:t>
      </w:r>
      <w:proofErr w:type="gramStart"/>
      <w:r w:rsidRPr="00935B4E">
        <w:rPr>
          <w:szCs w:val="24"/>
        </w:rPr>
        <w:t xml:space="preserve"> however</w:t>
      </w:r>
      <w:proofErr w:type="gramEnd"/>
      <w:r w:rsidRPr="00935B4E">
        <w:rPr>
          <w:szCs w:val="24"/>
        </w:rPr>
        <w:t xml:space="preserve"> all Ealing Council staff must be mindful of these regulations in cases where they are visiting </w:t>
      </w:r>
      <w:proofErr w:type="gramStart"/>
      <w:r w:rsidRPr="00935B4E">
        <w:rPr>
          <w:szCs w:val="24"/>
        </w:rPr>
        <w:t>residents</w:t>
      </w:r>
      <w:proofErr w:type="gramEnd"/>
      <w:r w:rsidRPr="00935B4E">
        <w:rPr>
          <w:szCs w:val="24"/>
        </w:rPr>
        <w:t xml:space="preserve"> homes.</w:t>
      </w:r>
    </w:p>
    <w:p w14:paraId="7CB94142" w14:textId="41BE7A2D" w:rsidR="00F23714" w:rsidRPr="00935B4E" w:rsidRDefault="00F23714" w:rsidP="00935B4E">
      <w:pPr>
        <w:spacing w:line="360" w:lineRule="auto"/>
        <w:ind w:left="720"/>
        <w:rPr>
          <w:szCs w:val="24"/>
        </w:rPr>
      </w:pPr>
      <w:r w:rsidRPr="00935B4E">
        <w:rPr>
          <w:szCs w:val="24"/>
        </w:rPr>
        <w:t xml:space="preserve">Any </w:t>
      </w:r>
      <w:proofErr w:type="gramStart"/>
      <w:r w:rsidRPr="00935B4E">
        <w:rPr>
          <w:szCs w:val="24"/>
        </w:rPr>
        <w:t>cooker</w:t>
      </w:r>
      <w:proofErr w:type="gramEnd"/>
      <w:r w:rsidRPr="00935B4E">
        <w:rPr>
          <w:szCs w:val="24"/>
        </w:rPr>
        <w:t xml:space="preserve"> found </w:t>
      </w:r>
      <w:proofErr w:type="gramStart"/>
      <w:r w:rsidRPr="00935B4E">
        <w:rPr>
          <w:szCs w:val="24"/>
        </w:rPr>
        <w:t>not</w:t>
      </w:r>
      <w:proofErr w:type="gramEnd"/>
      <w:r w:rsidRPr="00935B4E">
        <w:rPr>
          <w:szCs w:val="24"/>
        </w:rPr>
        <w:t xml:space="preserve"> to comply with the regulations will be dealt with appropriately, </w:t>
      </w:r>
      <w:proofErr w:type="gramStart"/>
      <w:r w:rsidRPr="00935B4E">
        <w:rPr>
          <w:szCs w:val="24"/>
        </w:rPr>
        <w:t>be reported</w:t>
      </w:r>
      <w:proofErr w:type="gramEnd"/>
      <w:r w:rsidRPr="00935B4E">
        <w:rPr>
          <w:szCs w:val="24"/>
        </w:rPr>
        <w:t xml:space="preserve"> to the </w:t>
      </w:r>
      <w:r w:rsidR="008A3D6E">
        <w:rPr>
          <w:szCs w:val="24"/>
        </w:rPr>
        <w:t>d</w:t>
      </w:r>
      <w:r w:rsidR="00F97863">
        <w:rPr>
          <w:szCs w:val="24"/>
        </w:rPr>
        <w:t xml:space="preserve">omestic </w:t>
      </w:r>
      <w:r w:rsidR="008A3D6E">
        <w:rPr>
          <w:szCs w:val="24"/>
        </w:rPr>
        <w:t>g</w:t>
      </w:r>
      <w:r w:rsidR="00F97863">
        <w:rPr>
          <w:szCs w:val="24"/>
        </w:rPr>
        <w:t xml:space="preserve">as </w:t>
      </w:r>
      <w:r w:rsidR="008A3D6E">
        <w:rPr>
          <w:szCs w:val="24"/>
        </w:rPr>
        <w:t>l</w:t>
      </w:r>
      <w:r w:rsidR="00F97863">
        <w:rPr>
          <w:szCs w:val="24"/>
        </w:rPr>
        <w:t>ead</w:t>
      </w:r>
      <w:r w:rsidRPr="00935B4E">
        <w:rPr>
          <w:szCs w:val="24"/>
        </w:rPr>
        <w:t xml:space="preserve"> and the occupant(s) advised accordingly.</w:t>
      </w:r>
    </w:p>
    <w:p w14:paraId="6A2A9E25" w14:textId="77777777" w:rsidR="00F23714" w:rsidRPr="00935B4E" w:rsidRDefault="00F23714" w:rsidP="00935B4E">
      <w:pPr>
        <w:spacing w:line="360" w:lineRule="auto"/>
        <w:rPr>
          <w:szCs w:val="24"/>
        </w:rPr>
      </w:pPr>
    </w:p>
    <w:p w14:paraId="57354777" w14:textId="401B9EC6" w:rsidR="008C79D5" w:rsidRPr="00935B4E" w:rsidRDefault="00935B4E" w:rsidP="00935B4E">
      <w:pPr>
        <w:pStyle w:val="Heading2"/>
        <w:spacing w:line="360" w:lineRule="auto"/>
      </w:pPr>
      <w:bookmarkStart w:id="16" w:name="_Toc134787413"/>
      <w:bookmarkStart w:id="17" w:name="_Toc134788220"/>
      <w:bookmarkStart w:id="18" w:name="_Toc134789736"/>
      <w:bookmarkStart w:id="19" w:name="_Toc200227465"/>
      <w:bookmarkEnd w:id="11"/>
      <w:bookmarkEnd w:id="12"/>
      <w:bookmarkEnd w:id="13"/>
      <w:r>
        <w:t>5</w:t>
      </w:r>
      <w:r w:rsidR="008C79D5" w:rsidRPr="00935B4E">
        <w:t>.</w:t>
      </w:r>
      <w:r w:rsidR="00755FC3" w:rsidRPr="00935B4E">
        <w:tab/>
      </w:r>
      <w:bookmarkEnd w:id="16"/>
      <w:bookmarkEnd w:id="17"/>
      <w:bookmarkEnd w:id="18"/>
      <w:r w:rsidR="009045B5" w:rsidRPr="00935B4E">
        <w:t>Gas safety</w:t>
      </w:r>
      <w:bookmarkEnd w:id="19"/>
    </w:p>
    <w:p w14:paraId="19A87450" w14:textId="0C0EE318" w:rsidR="009045B5" w:rsidRPr="00935B4E" w:rsidRDefault="00FE1663" w:rsidP="00935B4E">
      <w:pPr>
        <w:spacing w:line="360" w:lineRule="auto"/>
        <w:ind w:left="720"/>
      </w:pPr>
      <w:bookmarkStart w:id="20" w:name="_Toc134787414"/>
      <w:bookmarkStart w:id="21" w:name="_Toc134788221"/>
      <w:bookmarkStart w:id="22" w:name="_Toc134789737"/>
      <w:r>
        <w:t xml:space="preserve">We are </w:t>
      </w:r>
      <w:r w:rsidR="009045B5" w:rsidRPr="00935B4E">
        <w:t xml:space="preserve">committed to the provision of safe housing for </w:t>
      </w:r>
      <w:r>
        <w:t>our</w:t>
      </w:r>
      <w:r w:rsidR="009045B5" w:rsidRPr="00935B4E">
        <w:t xml:space="preserve"> tenants and leaseholders. </w:t>
      </w:r>
    </w:p>
    <w:p w14:paraId="2BCA47B0" w14:textId="49732047" w:rsidR="009045B5" w:rsidRPr="00935B4E" w:rsidRDefault="009045B5" w:rsidP="00935B4E">
      <w:pPr>
        <w:spacing w:line="360" w:lineRule="auto"/>
        <w:ind w:left="720"/>
      </w:pPr>
      <w:r w:rsidRPr="00935B4E">
        <w:t xml:space="preserve">To </w:t>
      </w:r>
      <w:proofErr w:type="spellStart"/>
      <w:r w:rsidRPr="00935B4E">
        <w:t>minimise</w:t>
      </w:r>
      <w:proofErr w:type="spellEnd"/>
      <w:r w:rsidRPr="00935B4E">
        <w:t xml:space="preserve"> the risk in its residential </w:t>
      </w:r>
      <w:proofErr w:type="gramStart"/>
      <w:r w:rsidRPr="00935B4E">
        <w:t>properties</w:t>
      </w:r>
      <w:proofErr w:type="gramEnd"/>
      <w:r w:rsidRPr="00935B4E">
        <w:t xml:space="preserve"> the </w:t>
      </w:r>
      <w:r w:rsidR="00D27B28" w:rsidRPr="00935B4E">
        <w:t>c</w:t>
      </w:r>
      <w:r w:rsidRPr="00935B4E">
        <w:t>ouncil will:</w:t>
      </w:r>
    </w:p>
    <w:p w14:paraId="7793CC36" w14:textId="44692526" w:rsidR="009045B5" w:rsidRPr="00935B4E" w:rsidRDefault="00B73F6E" w:rsidP="00935B4E">
      <w:pPr>
        <w:pStyle w:val="ListParagraph"/>
        <w:numPr>
          <w:ilvl w:val="0"/>
          <w:numId w:val="5"/>
        </w:numPr>
      </w:pPr>
      <w:r w:rsidRPr="00935B4E">
        <w:t>e</w:t>
      </w:r>
      <w:r w:rsidR="009045B5" w:rsidRPr="00935B4E">
        <w:t xml:space="preserve">nsure annual landlord gas safety checks are conducted at intervals of not more than 12 months by a </w:t>
      </w:r>
      <w:r w:rsidRPr="00935B4E">
        <w:t>g</w:t>
      </w:r>
      <w:r w:rsidR="009045B5" w:rsidRPr="00935B4E">
        <w:t xml:space="preserve">as </w:t>
      </w:r>
      <w:r w:rsidR="00F97863" w:rsidRPr="00935B4E">
        <w:t>safe</w:t>
      </w:r>
      <w:r w:rsidR="009045B5" w:rsidRPr="00935B4E">
        <w:t xml:space="preserve"> </w:t>
      </w:r>
      <w:r w:rsidR="009045B5" w:rsidRPr="00935B4E">
        <w:lastRenderedPageBreak/>
        <w:t xml:space="preserve">registered contractor </w:t>
      </w:r>
    </w:p>
    <w:p w14:paraId="3A904509" w14:textId="08230F08" w:rsidR="009045B5" w:rsidRPr="00935B4E" w:rsidRDefault="00B73F6E" w:rsidP="00935B4E">
      <w:pPr>
        <w:pStyle w:val="ListParagraph"/>
        <w:numPr>
          <w:ilvl w:val="0"/>
          <w:numId w:val="5"/>
        </w:numPr>
      </w:pPr>
      <w:r w:rsidRPr="00935B4E">
        <w:t>e</w:t>
      </w:r>
      <w:r w:rsidR="009045B5" w:rsidRPr="00935B4E">
        <w:t>nsure that only contractors / engineers with the relevant qualifications (</w:t>
      </w:r>
      <w:r w:rsidRPr="00935B4E">
        <w:t>g</w:t>
      </w:r>
      <w:r w:rsidR="009045B5" w:rsidRPr="00935B4E">
        <w:t xml:space="preserve">as </w:t>
      </w:r>
      <w:r w:rsidRPr="00935B4E">
        <w:t>s</w:t>
      </w:r>
      <w:r w:rsidR="009045B5" w:rsidRPr="00935B4E">
        <w:t xml:space="preserve">afe </w:t>
      </w:r>
      <w:r w:rsidRPr="00935B4E">
        <w:t>r</w:t>
      </w:r>
      <w:r w:rsidR="009045B5" w:rsidRPr="00935B4E">
        <w:t>egistered/HETAS etc.) can work on our gas, oil and solid fuel installations</w:t>
      </w:r>
      <w:r w:rsidR="00D27B28" w:rsidRPr="00935B4E">
        <w:t xml:space="preserve"> </w:t>
      </w:r>
      <w:r w:rsidR="009045B5" w:rsidRPr="00935B4E">
        <w:t xml:space="preserve">and appliances </w:t>
      </w:r>
    </w:p>
    <w:p w14:paraId="6BCB3D5E" w14:textId="23A81483" w:rsidR="009045B5" w:rsidRPr="00935B4E" w:rsidRDefault="00B73F6E" w:rsidP="00935B4E">
      <w:pPr>
        <w:pStyle w:val="ListParagraph"/>
        <w:numPr>
          <w:ilvl w:val="0"/>
          <w:numId w:val="5"/>
        </w:numPr>
      </w:pPr>
      <w:r w:rsidRPr="00935B4E">
        <w:t>e</w:t>
      </w:r>
      <w:r w:rsidR="009045B5" w:rsidRPr="00935B4E">
        <w:t xml:space="preserve">nsure where a chimney or flue is serving a heating appliance that could produce carbon monoxide (e.g., solid fuel or oil </w:t>
      </w:r>
      <w:proofErr w:type="gramStart"/>
      <w:r w:rsidR="00F97863" w:rsidRPr="00935B4E">
        <w:t>fueled</w:t>
      </w:r>
      <w:proofErr w:type="gramEnd"/>
      <w:r w:rsidR="009045B5" w:rsidRPr="00935B4E">
        <w:t xml:space="preserve"> fires) within a property (no matter who is the owner of the appliance), the chimney / flue is ‘fit for purpose’ </w:t>
      </w:r>
    </w:p>
    <w:p w14:paraId="4859946D" w14:textId="54ED7F72" w:rsidR="009045B5" w:rsidRPr="00935B4E" w:rsidRDefault="00B73F6E" w:rsidP="00935B4E">
      <w:pPr>
        <w:pStyle w:val="ListParagraph"/>
        <w:numPr>
          <w:ilvl w:val="0"/>
          <w:numId w:val="5"/>
        </w:numPr>
      </w:pPr>
      <w:r w:rsidRPr="00935B4E">
        <w:t>e</w:t>
      </w:r>
      <w:r w:rsidR="009045B5" w:rsidRPr="00935B4E">
        <w:t xml:space="preserve">nsure a Landlord Gas Safety Record (LGSR) check is conducted at each change of tenancy and a copy of the appropriate certification issued to the incoming resident prior to occupation </w:t>
      </w:r>
    </w:p>
    <w:p w14:paraId="265F0075" w14:textId="44FAE652" w:rsidR="009045B5" w:rsidRPr="00935B4E" w:rsidRDefault="00B73F6E" w:rsidP="00935B4E">
      <w:pPr>
        <w:pStyle w:val="ListParagraph"/>
        <w:numPr>
          <w:ilvl w:val="0"/>
          <w:numId w:val="5"/>
        </w:numPr>
      </w:pPr>
      <w:r w:rsidRPr="00935B4E">
        <w:t>e</w:t>
      </w:r>
      <w:r w:rsidR="009045B5" w:rsidRPr="00935B4E">
        <w:t xml:space="preserve">nsure that any gas appliance, pipework or flue is repaired and maintained to approved standards </w:t>
      </w:r>
    </w:p>
    <w:p w14:paraId="25A1450C" w14:textId="2D08E1E1" w:rsidR="009045B5" w:rsidRPr="00935B4E" w:rsidRDefault="00B73F6E" w:rsidP="00935B4E">
      <w:pPr>
        <w:pStyle w:val="ListParagraph"/>
        <w:numPr>
          <w:ilvl w:val="0"/>
          <w:numId w:val="5"/>
        </w:numPr>
      </w:pPr>
      <w:r w:rsidRPr="00935B4E">
        <w:t>p</w:t>
      </w:r>
      <w:r w:rsidR="009045B5" w:rsidRPr="00935B4E">
        <w:t xml:space="preserve">rocure and manage contractors appropriately </w:t>
      </w:r>
    </w:p>
    <w:p w14:paraId="314200B8" w14:textId="485DB686" w:rsidR="009045B5" w:rsidRPr="00935B4E" w:rsidRDefault="00B73F6E" w:rsidP="00935B4E">
      <w:pPr>
        <w:pStyle w:val="ListParagraph"/>
        <w:numPr>
          <w:ilvl w:val="0"/>
          <w:numId w:val="5"/>
        </w:numPr>
      </w:pPr>
      <w:r w:rsidRPr="00935B4E">
        <w:t>k</w:t>
      </w:r>
      <w:r w:rsidR="009045B5" w:rsidRPr="00935B4E">
        <w:t xml:space="preserve">eep detailed </w:t>
      </w:r>
      <w:proofErr w:type="spellStart"/>
      <w:r w:rsidR="009045B5" w:rsidRPr="00935B4E">
        <w:t>computerised</w:t>
      </w:r>
      <w:proofErr w:type="spellEnd"/>
      <w:r w:rsidR="009045B5" w:rsidRPr="00935B4E">
        <w:t xml:space="preserve"> information (for at least 2 years) of all LGSRs and monitor performance to ensure that 100% compliance is maintained </w:t>
      </w:r>
    </w:p>
    <w:p w14:paraId="5EFE0F43" w14:textId="78C3B20D" w:rsidR="009045B5" w:rsidRPr="00935B4E" w:rsidRDefault="00B73F6E" w:rsidP="00935B4E">
      <w:pPr>
        <w:pStyle w:val="ListParagraph"/>
        <w:numPr>
          <w:ilvl w:val="0"/>
          <w:numId w:val="5"/>
        </w:numPr>
      </w:pPr>
      <w:r w:rsidRPr="00935B4E">
        <w:t>r</w:t>
      </w:r>
      <w:r w:rsidR="009045B5" w:rsidRPr="00935B4E">
        <w:t xml:space="preserve">egularly </w:t>
      </w:r>
      <w:proofErr w:type="spellStart"/>
      <w:r w:rsidR="009045B5" w:rsidRPr="00935B4E">
        <w:t>publicise</w:t>
      </w:r>
      <w:proofErr w:type="spellEnd"/>
      <w:r w:rsidR="009045B5" w:rsidRPr="00935B4E">
        <w:t xml:space="preserve"> the risks associated with gas installations and appliances to residents </w:t>
      </w:r>
    </w:p>
    <w:p w14:paraId="6738ACA7" w14:textId="6FA09270" w:rsidR="00B73F6E" w:rsidRPr="00935B4E" w:rsidRDefault="00B73F6E" w:rsidP="00935B4E">
      <w:pPr>
        <w:pStyle w:val="ListParagraph"/>
        <w:numPr>
          <w:ilvl w:val="0"/>
          <w:numId w:val="0"/>
        </w:numPr>
        <w:ind w:left="1440"/>
      </w:pPr>
      <w:r w:rsidRPr="00935B4E">
        <w:t>r</w:t>
      </w:r>
      <w:r w:rsidR="009045B5" w:rsidRPr="00935B4E">
        <w:t xml:space="preserve">econcile records with those held by the contractor on a quarterly basis </w:t>
      </w:r>
    </w:p>
    <w:p w14:paraId="3383A673" w14:textId="50B76CB8" w:rsidR="009045B5" w:rsidRPr="00935B4E" w:rsidRDefault="00B73F6E" w:rsidP="00935B4E">
      <w:pPr>
        <w:pStyle w:val="ListParagraph"/>
        <w:numPr>
          <w:ilvl w:val="0"/>
          <w:numId w:val="5"/>
        </w:numPr>
      </w:pPr>
      <w:r w:rsidRPr="00935B4E">
        <w:t>i</w:t>
      </w:r>
      <w:r w:rsidR="009045B5" w:rsidRPr="00935B4E">
        <w:t xml:space="preserve">ssue residents with a copy of the LGSR within 28 days of it being completed </w:t>
      </w:r>
    </w:p>
    <w:p w14:paraId="2F624BC3" w14:textId="47E785C1" w:rsidR="009045B5" w:rsidRPr="00935B4E" w:rsidRDefault="00B73F6E" w:rsidP="00935B4E">
      <w:pPr>
        <w:pStyle w:val="ListParagraph"/>
        <w:numPr>
          <w:ilvl w:val="0"/>
          <w:numId w:val="5"/>
        </w:numPr>
      </w:pPr>
      <w:r w:rsidRPr="00935B4E">
        <w:t>p</w:t>
      </w:r>
      <w:r w:rsidR="009045B5" w:rsidRPr="00935B4E">
        <w:t xml:space="preserve">ost a copy of the LGSR on a communal noticeboard in a prominent position at sites where checks relate to communal systems. Include details on how to obtain individual copies if required </w:t>
      </w:r>
    </w:p>
    <w:p w14:paraId="6EBC1F04" w14:textId="363FE7B0" w:rsidR="009045B5" w:rsidRPr="00935B4E" w:rsidRDefault="00B73F6E" w:rsidP="00935B4E">
      <w:pPr>
        <w:pStyle w:val="ListParagraph"/>
        <w:numPr>
          <w:ilvl w:val="0"/>
          <w:numId w:val="5"/>
        </w:numPr>
      </w:pPr>
      <w:r w:rsidRPr="00935B4E">
        <w:t>p</w:t>
      </w:r>
      <w:r w:rsidR="009045B5" w:rsidRPr="00935B4E">
        <w:t xml:space="preserve">rovide a copy of the current LGSR to new residents, or </w:t>
      </w:r>
      <w:r w:rsidR="009045B5" w:rsidRPr="00935B4E">
        <w:lastRenderedPageBreak/>
        <w:t xml:space="preserve">exchanging residents </w:t>
      </w:r>
    </w:p>
    <w:p w14:paraId="66646D3B" w14:textId="07954D46" w:rsidR="009045B5" w:rsidRPr="00935B4E" w:rsidRDefault="00B73F6E" w:rsidP="00935B4E">
      <w:pPr>
        <w:pStyle w:val="ListParagraph"/>
        <w:numPr>
          <w:ilvl w:val="0"/>
          <w:numId w:val="5"/>
        </w:numPr>
      </w:pPr>
      <w:r w:rsidRPr="00935B4E">
        <w:t>e</w:t>
      </w:r>
      <w:r w:rsidR="009045B5" w:rsidRPr="00935B4E">
        <w:t xml:space="preserve">nsure appropriate and regular gas safety awareness training is provided </w:t>
      </w:r>
      <w:proofErr w:type="gramStart"/>
      <w:r w:rsidR="009045B5" w:rsidRPr="00935B4E">
        <w:t>to</w:t>
      </w:r>
      <w:proofErr w:type="gramEnd"/>
      <w:r w:rsidR="009045B5" w:rsidRPr="00935B4E">
        <w:t xml:space="preserve"> all relevant staff </w:t>
      </w:r>
    </w:p>
    <w:p w14:paraId="0A6B24BF" w14:textId="322ACA04" w:rsidR="009045B5" w:rsidRPr="000870A0" w:rsidRDefault="00B73F6E" w:rsidP="00935B4E">
      <w:pPr>
        <w:pStyle w:val="ListParagraph"/>
        <w:numPr>
          <w:ilvl w:val="0"/>
          <w:numId w:val="5"/>
        </w:numPr>
      </w:pPr>
      <w:r w:rsidRPr="000870A0">
        <w:t>e</w:t>
      </w:r>
      <w:r w:rsidR="009045B5" w:rsidRPr="000870A0">
        <w:t xml:space="preserve">mploy staff to manage the contract and oversee the </w:t>
      </w:r>
      <w:proofErr w:type="gramStart"/>
      <w:r w:rsidR="009045B5" w:rsidRPr="000870A0">
        <w:t>works</w:t>
      </w:r>
      <w:proofErr w:type="gramEnd"/>
      <w:r w:rsidR="009045B5" w:rsidRPr="000870A0">
        <w:t xml:space="preserve"> </w:t>
      </w:r>
    </w:p>
    <w:p w14:paraId="3FE1D484" w14:textId="28893839" w:rsidR="009045B5" w:rsidRPr="00935B4E" w:rsidRDefault="00B73F6E" w:rsidP="00935B4E">
      <w:pPr>
        <w:pStyle w:val="ListParagraph"/>
        <w:numPr>
          <w:ilvl w:val="0"/>
          <w:numId w:val="5"/>
        </w:numPr>
      </w:pPr>
      <w:r w:rsidRPr="00935B4E">
        <w:t>e</w:t>
      </w:r>
      <w:r w:rsidR="009045B5" w:rsidRPr="00935B4E">
        <w:t xml:space="preserve">ncourage staff to be alert to the danger signs from gas appliances as part of their routine duties and visits and have a clear process for reporting concerns </w:t>
      </w:r>
    </w:p>
    <w:p w14:paraId="358D8FC6" w14:textId="036CCE34" w:rsidR="009045B5" w:rsidRPr="00935B4E" w:rsidRDefault="00B73F6E" w:rsidP="00935B4E">
      <w:pPr>
        <w:pStyle w:val="ListParagraph"/>
        <w:numPr>
          <w:ilvl w:val="0"/>
          <w:numId w:val="5"/>
        </w:numPr>
      </w:pPr>
      <w:r w:rsidRPr="00935B4E">
        <w:t>m</w:t>
      </w:r>
      <w:r w:rsidR="009045B5" w:rsidRPr="00935B4E">
        <w:t xml:space="preserve">ake provision for a third-party audit process that will provide reports on the performance of the </w:t>
      </w:r>
      <w:r w:rsidRPr="00935B4E">
        <w:t>g</w:t>
      </w:r>
      <w:r w:rsidR="009045B5" w:rsidRPr="00935B4E">
        <w:t xml:space="preserve">as </w:t>
      </w:r>
      <w:r w:rsidRPr="00935B4E">
        <w:t>s</w:t>
      </w:r>
      <w:r w:rsidR="009045B5" w:rsidRPr="00935B4E">
        <w:t>afe contractor, and conduct sample checks of the quality of on-site work undertaken by operatives and representatives</w:t>
      </w:r>
      <w:r w:rsidR="007E1C93" w:rsidRPr="00935B4E">
        <w:t>.</w:t>
      </w:r>
    </w:p>
    <w:p w14:paraId="3697F5F6" w14:textId="7B09BA90" w:rsidR="007E1C93" w:rsidRPr="00935B4E" w:rsidRDefault="00935B4E" w:rsidP="00935B4E">
      <w:pPr>
        <w:pStyle w:val="Heading2"/>
        <w:spacing w:line="360" w:lineRule="auto"/>
        <w:rPr>
          <w:rFonts w:cstheme="minorHAnsi"/>
        </w:rPr>
      </w:pPr>
      <w:bookmarkStart w:id="23" w:name="_Toc200227466"/>
      <w:r>
        <w:t>6</w:t>
      </w:r>
      <w:proofErr w:type="gramStart"/>
      <w:r w:rsidR="007E1C93" w:rsidRPr="00935B4E">
        <w:t xml:space="preserve">. </w:t>
      </w:r>
      <w:r w:rsidR="007E1C93" w:rsidRPr="00935B4E">
        <w:tab/>
        <w:t>Resident</w:t>
      </w:r>
      <w:proofErr w:type="gramEnd"/>
      <w:r w:rsidR="007E1C93" w:rsidRPr="00935B4E">
        <w:t xml:space="preserve"> engagement</w:t>
      </w:r>
      <w:bookmarkEnd w:id="23"/>
    </w:p>
    <w:p w14:paraId="387088BA" w14:textId="1FD89E08" w:rsidR="007E1C93" w:rsidRPr="00935B4E" w:rsidRDefault="007E1C93" w:rsidP="00935B4E">
      <w:pPr>
        <w:spacing w:line="360" w:lineRule="auto"/>
        <w:ind w:left="720"/>
      </w:pPr>
      <w:bookmarkStart w:id="24" w:name="_Toc134787418"/>
      <w:bookmarkStart w:id="25" w:name="_Toc134788225"/>
      <w:bookmarkStart w:id="26" w:name="_Toc134789741"/>
      <w:r w:rsidRPr="00935B4E">
        <w:t>Ealing Council will provide all residents with information on how</w:t>
      </w:r>
      <w:r w:rsidR="001822B1">
        <w:t xml:space="preserve"> to</w:t>
      </w:r>
      <w:r w:rsidRPr="00935B4E">
        <w:t xml:space="preserve"> manage gas safety in their homes and the buildings they occupy. This is included in the </w:t>
      </w:r>
      <w:r w:rsidR="008D243E">
        <w:t>t</w:t>
      </w:r>
      <w:r w:rsidRPr="00935B4E">
        <w:t xml:space="preserve">enant’s </w:t>
      </w:r>
      <w:r w:rsidR="008D243E">
        <w:t>h</w:t>
      </w:r>
      <w:r w:rsidRPr="00935B4E">
        <w:t>andbook</w:t>
      </w:r>
      <w:r w:rsidR="008D243E">
        <w:t>.</w:t>
      </w:r>
    </w:p>
    <w:p w14:paraId="21A60165" w14:textId="77777777" w:rsidR="007E1C93" w:rsidRPr="00935B4E" w:rsidRDefault="007E1C93" w:rsidP="00935B4E">
      <w:pPr>
        <w:spacing w:line="360" w:lineRule="auto"/>
        <w:ind w:left="720"/>
      </w:pPr>
      <w:r w:rsidRPr="00935B4E">
        <w:t xml:space="preserve">Ealing Council will ensure that all </w:t>
      </w:r>
      <w:proofErr w:type="gramStart"/>
      <w:r w:rsidRPr="00935B4E">
        <w:t>gas</w:t>
      </w:r>
      <w:proofErr w:type="gramEnd"/>
      <w:r w:rsidRPr="00935B4E">
        <w:t xml:space="preserve"> safety information that is produced for residents will be first considered and approved by our engaged residents.</w:t>
      </w:r>
      <w:bookmarkEnd w:id="24"/>
      <w:bookmarkEnd w:id="25"/>
      <w:bookmarkEnd w:id="26"/>
    </w:p>
    <w:p w14:paraId="5A0EF193" w14:textId="67E64FCC" w:rsidR="007E1C93" w:rsidRPr="00935B4E" w:rsidRDefault="007E1C93" w:rsidP="00935B4E">
      <w:pPr>
        <w:spacing w:line="360" w:lineRule="auto"/>
        <w:ind w:left="720"/>
      </w:pPr>
      <w:r w:rsidRPr="00935B4E">
        <w:t>Under the terms of their tenancy agreement</w:t>
      </w:r>
      <w:r w:rsidR="007E7003">
        <w:t>,</w:t>
      </w:r>
      <w:r w:rsidRPr="00935B4E">
        <w:t xml:space="preserve"> residents have </w:t>
      </w:r>
      <w:r w:rsidR="004C01FF" w:rsidRPr="00935B4E">
        <w:t>a responsibility</w:t>
      </w:r>
      <w:r w:rsidRPr="00935B4E">
        <w:t xml:space="preserve"> to:</w:t>
      </w:r>
    </w:p>
    <w:p w14:paraId="1A55CD18" w14:textId="54335719" w:rsidR="007E1C93" w:rsidRPr="00935B4E" w:rsidRDefault="007E1C93" w:rsidP="00935B4E">
      <w:pPr>
        <w:pStyle w:val="ListParagraph"/>
        <w:numPr>
          <w:ilvl w:val="0"/>
          <w:numId w:val="2"/>
        </w:numPr>
        <w:spacing w:before="0" w:after="0"/>
      </w:pPr>
      <w:r w:rsidRPr="00935B4E">
        <w:t>allow access to enable the landlord gas safety check or any service or safety inspection to be undertaken</w:t>
      </w:r>
    </w:p>
    <w:p w14:paraId="0DCBB0A8" w14:textId="1920CC99" w:rsidR="007E1C93" w:rsidRPr="00935B4E" w:rsidRDefault="007E1C93" w:rsidP="00935B4E">
      <w:pPr>
        <w:pStyle w:val="ListParagraph"/>
        <w:numPr>
          <w:ilvl w:val="0"/>
          <w:numId w:val="2"/>
        </w:numPr>
        <w:spacing w:before="0" w:after="0"/>
      </w:pPr>
      <w:r w:rsidRPr="00935B4E">
        <w:t xml:space="preserve">immediately reporting any concerns with gas appliances, flues, or installation pipework, turning off gas supplies and appliances in hazardous situations and keeping them turned off until a </w:t>
      </w:r>
      <w:r w:rsidRPr="00935B4E">
        <w:lastRenderedPageBreak/>
        <w:t>competent person has conducted checks</w:t>
      </w:r>
    </w:p>
    <w:p w14:paraId="5A44CABC" w14:textId="77F24FC3" w:rsidR="007E1C93" w:rsidRPr="00935B4E" w:rsidRDefault="007E1C93" w:rsidP="00935B4E">
      <w:pPr>
        <w:pStyle w:val="ListParagraph"/>
        <w:numPr>
          <w:ilvl w:val="0"/>
          <w:numId w:val="2"/>
        </w:numPr>
      </w:pPr>
      <w:r w:rsidRPr="00935B4E">
        <w:t>regularly test their carbon monoxide alarms and report any problems</w:t>
      </w:r>
    </w:p>
    <w:p w14:paraId="1C2286DC" w14:textId="77777777" w:rsidR="007E1C93" w:rsidRPr="00935B4E" w:rsidRDefault="007E1C93" w:rsidP="00935B4E">
      <w:pPr>
        <w:pStyle w:val="ListParagraph"/>
        <w:numPr>
          <w:ilvl w:val="0"/>
          <w:numId w:val="2"/>
        </w:numPr>
      </w:pPr>
      <w:r w:rsidRPr="00935B4E">
        <w:t xml:space="preserve">must not act in a way that creates a significant risk of </w:t>
      </w:r>
      <w:proofErr w:type="gramStart"/>
      <w:r w:rsidRPr="00935B4E">
        <w:t>a building</w:t>
      </w:r>
      <w:proofErr w:type="gramEnd"/>
      <w:r w:rsidRPr="00935B4E">
        <w:t xml:space="preserve"> safety risk </w:t>
      </w:r>
      <w:proofErr w:type="spellStart"/>
      <w:r w:rsidRPr="00935B4E">
        <w:t>materialising</w:t>
      </w:r>
      <w:proofErr w:type="spellEnd"/>
    </w:p>
    <w:p w14:paraId="739C635C" w14:textId="77777777" w:rsidR="007E1C93" w:rsidRPr="00935B4E" w:rsidRDefault="007E1C93" w:rsidP="00935B4E">
      <w:pPr>
        <w:spacing w:line="360" w:lineRule="auto"/>
        <w:ind w:left="720"/>
      </w:pPr>
      <w:r w:rsidRPr="00935B4E">
        <w:t>In addition, leaseholders who decide to let their properties will be reminded of their landlord obligations to their tenants.</w:t>
      </w:r>
    </w:p>
    <w:p w14:paraId="34D55406" w14:textId="2F24BD35" w:rsidR="007E1C93" w:rsidRPr="00935B4E" w:rsidRDefault="007E1C93" w:rsidP="00935B4E">
      <w:pPr>
        <w:spacing w:line="360" w:lineRule="auto"/>
        <w:ind w:left="720"/>
        <w:rPr>
          <w:szCs w:val="24"/>
        </w:rPr>
      </w:pPr>
      <w:r w:rsidRPr="00935B4E">
        <w:rPr>
          <w:szCs w:val="24"/>
        </w:rPr>
        <w:t>We will always work in partnership as landlord with our tenant.  However, when this relationship breaks down, Ealing Council will use the legal remedies available within the terms of the tenancy and lease agreements, should any tenant refuse access to carry out essential gas safety inspections and remediation works.  Where we need to ask the court for an injunction, we will always ask for this to be for the lifetime of the tenancy.</w:t>
      </w:r>
    </w:p>
    <w:p w14:paraId="6DE9C29B" w14:textId="18CFBC89" w:rsidR="007E1C93" w:rsidRPr="00935B4E" w:rsidRDefault="00842EC5" w:rsidP="00935B4E">
      <w:pPr>
        <w:pStyle w:val="Heading2"/>
        <w:spacing w:line="360" w:lineRule="auto"/>
      </w:pPr>
      <w:bookmarkStart w:id="27" w:name="_Toc200227467"/>
      <w:r>
        <w:t>7</w:t>
      </w:r>
      <w:proofErr w:type="gramStart"/>
      <w:r w:rsidR="007E1C93" w:rsidRPr="00935B4E">
        <w:t xml:space="preserve">. </w:t>
      </w:r>
      <w:r w:rsidR="007E1C93" w:rsidRPr="00935B4E">
        <w:tab/>
        <w:t>Contractor</w:t>
      </w:r>
      <w:proofErr w:type="gramEnd"/>
      <w:r w:rsidR="007E1C93" w:rsidRPr="00935B4E">
        <w:t xml:space="preserve"> engagement</w:t>
      </w:r>
      <w:bookmarkEnd w:id="27"/>
    </w:p>
    <w:p w14:paraId="310EE225" w14:textId="50A12AC7" w:rsidR="007E1C93" w:rsidRPr="00935B4E" w:rsidRDefault="00473D87" w:rsidP="00935B4E">
      <w:pPr>
        <w:spacing w:line="360" w:lineRule="auto"/>
        <w:ind w:left="720"/>
        <w:rPr>
          <w:szCs w:val="24"/>
        </w:rPr>
      </w:pPr>
      <w:r>
        <w:rPr>
          <w:szCs w:val="24"/>
        </w:rPr>
        <w:t>We</w:t>
      </w:r>
      <w:r w:rsidR="007E1C93" w:rsidRPr="00935B4E">
        <w:rPr>
          <w:szCs w:val="24"/>
        </w:rPr>
        <w:t xml:space="preserve"> will only use contractors registered with Gas safe (or equivalent body). Furthermore, engineers undertaking inspection, testing and certification must hold the necessary additional qualifications.</w:t>
      </w:r>
    </w:p>
    <w:p w14:paraId="723727A3" w14:textId="7603A135" w:rsidR="007E1C93" w:rsidRPr="00935B4E" w:rsidRDefault="007E1C93" w:rsidP="00935B4E">
      <w:pPr>
        <w:spacing w:line="360" w:lineRule="auto"/>
        <w:ind w:left="720"/>
        <w:rPr>
          <w:szCs w:val="24"/>
        </w:rPr>
      </w:pPr>
      <w:r w:rsidRPr="00935B4E">
        <w:rPr>
          <w:szCs w:val="24"/>
        </w:rPr>
        <w:t xml:space="preserve">Contractors and others working in Ealing Council properties are required to demonstrate that their representatives understand how the work they undertake may impact on </w:t>
      </w:r>
      <w:proofErr w:type="gramStart"/>
      <w:r w:rsidRPr="00935B4E">
        <w:rPr>
          <w:szCs w:val="24"/>
        </w:rPr>
        <w:t>the gas</w:t>
      </w:r>
      <w:proofErr w:type="gramEnd"/>
      <w:r w:rsidRPr="00935B4E">
        <w:rPr>
          <w:szCs w:val="24"/>
        </w:rPr>
        <w:t xml:space="preserve"> safety. No </w:t>
      </w:r>
      <w:proofErr w:type="gramStart"/>
      <w:r w:rsidRPr="00935B4E">
        <w:rPr>
          <w:szCs w:val="24"/>
        </w:rPr>
        <w:t>works</w:t>
      </w:r>
      <w:proofErr w:type="gramEnd"/>
      <w:r w:rsidRPr="00935B4E">
        <w:rPr>
          <w:szCs w:val="24"/>
        </w:rPr>
        <w:t xml:space="preserve"> can begin until the method statement for the </w:t>
      </w:r>
      <w:proofErr w:type="gramStart"/>
      <w:r w:rsidRPr="00935B4E">
        <w:rPr>
          <w:szCs w:val="24"/>
        </w:rPr>
        <w:t>activity,</w:t>
      </w:r>
      <w:proofErr w:type="gramEnd"/>
      <w:r w:rsidRPr="00935B4E">
        <w:rPr>
          <w:szCs w:val="24"/>
        </w:rPr>
        <w:t xml:space="preserve"> has been approved by </w:t>
      </w:r>
      <w:proofErr w:type="gramStart"/>
      <w:r w:rsidRPr="00935B4E">
        <w:rPr>
          <w:szCs w:val="24"/>
        </w:rPr>
        <w:t>Ealing</w:t>
      </w:r>
      <w:proofErr w:type="gramEnd"/>
      <w:r w:rsidRPr="00935B4E">
        <w:rPr>
          <w:szCs w:val="24"/>
        </w:rPr>
        <w:t xml:space="preserve"> Council.</w:t>
      </w:r>
    </w:p>
    <w:p w14:paraId="3BDBB410" w14:textId="0C303932" w:rsidR="007E1C93" w:rsidRPr="00935B4E" w:rsidRDefault="007E1C93" w:rsidP="00935B4E">
      <w:pPr>
        <w:spacing w:line="360" w:lineRule="auto"/>
        <w:ind w:left="720"/>
      </w:pPr>
      <w:r w:rsidRPr="00935B4E">
        <w:t xml:space="preserve">Contractors have a responsibility to identify on the Landlord Gas Safety Certificate (LGSR) any unsafe resident-owned appliances and advise the resident of any remedial actions required. Ealing Council service and maintain resident’s gas fires which are served by a </w:t>
      </w:r>
      <w:proofErr w:type="gramStart"/>
      <w:r w:rsidRPr="00935B4E">
        <w:t>flue</w:t>
      </w:r>
      <w:proofErr w:type="gramEnd"/>
      <w:r w:rsidRPr="00935B4E">
        <w:t xml:space="preserve"> </w:t>
      </w:r>
      <w:r w:rsidRPr="00935B4E">
        <w:lastRenderedPageBreak/>
        <w:t xml:space="preserve">owned by Ealing Council. Any repairs that need to be carried out or removal of the appliance due to its state of disrepair are recharged to residents. Safety checks to </w:t>
      </w:r>
      <w:proofErr w:type="gramStart"/>
      <w:r w:rsidRPr="00935B4E">
        <w:t>resident’s</w:t>
      </w:r>
      <w:proofErr w:type="gramEnd"/>
      <w:r w:rsidRPr="00935B4E">
        <w:t xml:space="preserve"> own gas fires are carried out in accordance with the Gas (Installation and Use) Regulations 1998 </w:t>
      </w:r>
      <w:proofErr w:type="spellStart"/>
      <w:r w:rsidRPr="00935B4E">
        <w:t>ACoP</w:t>
      </w:r>
      <w:proofErr w:type="spellEnd"/>
      <w:r w:rsidRPr="00935B4E">
        <w:t xml:space="preserve"> 36(2) guidance note 299.</w:t>
      </w:r>
    </w:p>
    <w:p w14:paraId="6CF3A2D5" w14:textId="77777777" w:rsidR="007E1C93" w:rsidRPr="00935B4E" w:rsidRDefault="007E1C93" w:rsidP="00935B4E">
      <w:pPr>
        <w:spacing w:line="360" w:lineRule="auto"/>
        <w:ind w:left="720"/>
      </w:pPr>
      <w:r w:rsidRPr="00935B4E">
        <w:t xml:space="preserve">Contractors are required to immediately report any </w:t>
      </w:r>
      <w:proofErr w:type="gramStart"/>
      <w:r w:rsidRPr="00935B4E">
        <w:t>gas related</w:t>
      </w:r>
      <w:proofErr w:type="gramEnd"/>
      <w:r w:rsidRPr="00935B4E">
        <w:t xml:space="preserve"> risks or concerns to their gas manager and the National Gas Emergency Service, stop ongoing works if the concern is significant or warrants immediate action.</w:t>
      </w:r>
    </w:p>
    <w:p w14:paraId="59BAA6A2" w14:textId="77777777" w:rsidR="007E1C93" w:rsidRPr="00935B4E" w:rsidRDefault="007E1C93" w:rsidP="00935B4E">
      <w:pPr>
        <w:spacing w:line="360" w:lineRule="auto"/>
        <w:ind w:left="720"/>
      </w:pPr>
      <w:r w:rsidRPr="00935B4E">
        <w:t xml:space="preserve">The contractor undertakes work in accordance with the specific requirements set out in the contract. </w:t>
      </w:r>
    </w:p>
    <w:p w14:paraId="68978C5C" w14:textId="032370F1" w:rsidR="007E1C93" w:rsidRPr="00935B4E" w:rsidRDefault="00842EC5" w:rsidP="00935B4E">
      <w:pPr>
        <w:pStyle w:val="Heading2"/>
        <w:spacing w:line="360" w:lineRule="auto"/>
      </w:pPr>
      <w:bookmarkStart w:id="28" w:name="_Toc200227468"/>
      <w:r>
        <w:t>8.</w:t>
      </w:r>
      <w:r w:rsidR="007E1C93" w:rsidRPr="00935B4E">
        <w:tab/>
        <w:t>New build</w:t>
      </w:r>
      <w:bookmarkEnd w:id="28"/>
    </w:p>
    <w:p w14:paraId="18F09AC3" w14:textId="77777777" w:rsidR="007E1C93" w:rsidRPr="00935B4E" w:rsidRDefault="007E1C93" w:rsidP="00935B4E">
      <w:pPr>
        <w:spacing w:line="360" w:lineRule="auto"/>
        <w:ind w:left="720"/>
      </w:pPr>
      <w:r w:rsidRPr="00935B4E">
        <w:t>Ealing Council will ensure that all new developments will be undertaken in accordance with the requirements of the Gas Safety (Installation and Use) Regulations 1998 and Gas Safety (Management) Regulations 1994.</w:t>
      </w:r>
    </w:p>
    <w:p w14:paraId="56BD3AD3" w14:textId="5FC3080F" w:rsidR="00935B4E" w:rsidRPr="00935B4E" w:rsidRDefault="00842EC5" w:rsidP="00935B4E">
      <w:pPr>
        <w:pStyle w:val="Heading2"/>
        <w:spacing w:line="360" w:lineRule="auto"/>
      </w:pPr>
      <w:bookmarkStart w:id="29" w:name="_Toc200227469"/>
      <w:r>
        <w:t>9.</w:t>
      </w:r>
      <w:r w:rsidR="00935B4E" w:rsidRPr="00935B4E">
        <w:tab/>
        <w:t>Monitoring, compliance, and review</w:t>
      </w:r>
      <w:bookmarkEnd w:id="29"/>
    </w:p>
    <w:p w14:paraId="55B6AB0A" w14:textId="3943B740" w:rsidR="00935B4E" w:rsidRPr="00935B4E" w:rsidRDefault="00935B4E" w:rsidP="00935B4E">
      <w:pPr>
        <w:pStyle w:val="ListParagraph"/>
        <w:numPr>
          <w:ilvl w:val="0"/>
          <w:numId w:val="0"/>
        </w:numPr>
        <w:ind w:left="720"/>
        <w:jc w:val="both"/>
        <w:rPr>
          <w:szCs w:val="24"/>
        </w:rPr>
      </w:pPr>
      <w:r w:rsidRPr="00935B4E">
        <w:rPr>
          <w:szCs w:val="24"/>
        </w:rPr>
        <w:t xml:space="preserve">The day-to-day responsibility for gas safety for the </w:t>
      </w:r>
      <w:r w:rsidR="000C0AF3">
        <w:rPr>
          <w:szCs w:val="24"/>
        </w:rPr>
        <w:t>c</w:t>
      </w:r>
      <w:r w:rsidRPr="00935B4E">
        <w:rPr>
          <w:szCs w:val="24"/>
        </w:rPr>
        <w:t xml:space="preserve">ouncil’s housing stock is implemented in line with this policy has been delegated, via the </w:t>
      </w:r>
      <w:r w:rsidR="000C0AF3">
        <w:rPr>
          <w:szCs w:val="24"/>
        </w:rPr>
        <w:t>c</w:t>
      </w:r>
      <w:r w:rsidRPr="00935B4E">
        <w:rPr>
          <w:szCs w:val="24"/>
        </w:rPr>
        <w:t xml:space="preserve">hief </w:t>
      </w:r>
      <w:r w:rsidR="000C0AF3">
        <w:rPr>
          <w:szCs w:val="24"/>
        </w:rPr>
        <w:t>e</w:t>
      </w:r>
      <w:r w:rsidRPr="00935B4E">
        <w:rPr>
          <w:szCs w:val="24"/>
        </w:rPr>
        <w:t xml:space="preserve">xecutive, to the </w:t>
      </w:r>
      <w:r w:rsidR="000C0AF3">
        <w:rPr>
          <w:szCs w:val="24"/>
        </w:rPr>
        <w:t>s</w:t>
      </w:r>
      <w:r w:rsidRPr="00935B4E">
        <w:rPr>
          <w:szCs w:val="24"/>
        </w:rPr>
        <w:t xml:space="preserve">trategic </w:t>
      </w:r>
      <w:r w:rsidR="000C0AF3">
        <w:rPr>
          <w:szCs w:val="24"/>
        </w:rPr>
        <w:t>d</w:t>
      </w:r>
      <w:r w:rsidRPr="00935B4E">
        <w:rPr>
          <w:szCs w:val="24"/>
        </w:rPr>
        <w:t xml:space="preserve">irector of </w:t>
      </w:r>
      <w:r w:rsidR="000C0AF3">
        <w:rPr>
          <w:szCs w:val="24"/>
        </w:rPr>
        <w:t>h</w:t>
      </w:r>
      <w:r w:rsidRPr="00935B4E">
        <w:rPr>
          <w:szCs w:val="24"/>
        </w:rPr>
        <w:t xml:space="preserve">ousing </w:t>
      </w:r>
      <w:r w:rsidR="000C0AF3">
        <w:rPr>
          <w:szCs w:val="24"/>
        </w:rPr>
        <w:t>and</w:t>
      </w:r>
      <w:r w:rsidRPr="00935B4E">
        <w:rPr>
          <w:szCs w:val="24"/>
        </w:rPr>
        <w:t xml:space="preserve"> </w:t>
      </w:r>
      <w:r w:rsidR="000C0AF3">
        <w:rPr>
          <w:szCs w:val="24"/>
        </w:rPr>
        <w:t>e</w:t>
      </w:r>
      <w:r w:rsidRPr="00935B4E">
        <w:rPr>
          <w:szCs w:val="24"/>
        </w:rPr>
        <w:t xml:space="preserve">nvironment. </w:t>
      </w:r>
    </w:p>
    <w:p w14:paraId="4E8FA79F" w14:textId="010331AE" w:rsidR="00935B4E" w:rsidRPr="00935B4E" w:rsidRDefault="00935B4E" w:rsidP="00935B4E">
      <w:pPr>
        <w:spacing w:line="360" w:lineRule="auto"/>
        <w:ind w:left="720"/>
        <w:rPr>
          <w:szCs w:val="24"/>
        </w:rPr>
      </w:pPr>
      <w:r w:rsidRPr="00935B4E">
        <w:rPr>
          <w:szCs w:val="24"/>
        </w:rPr>
        <w:t xml:space="preserve">Performance against targets of key performance indicator is monitored by the senior leadership team of </w:t>
      </w:r>
      <w:r w:rsidR="004F161D">
        <w:rPr>
          <w:szCs w:val="24"/>
        </w:rPr>
        <w:t>h</w:t>
      </w:r>
      <w:r w:rsidRPr="00935B4E">
        <w:rPr>
          <w:szCs w:val="24"/>
        </w:rPr>
        <w:t xml:space="preserve">ousing </w:t>
      </w:r>
      <w:r w:rsidR="004F161D">
        <w:rPr>
          <w:szCs w:val="24"/>
        </w:rPr>
        <w:t>and</w:t>
      </w:r>
      <w:r w:rsidRPr="00935B4E">
        <w:rPr>
          <w:szCs w:val="24"/>
        </w:rPr>
        <w:t xml:space="preserve"> </w:t>
      </w:r>
      <w:r w:rsidR="004F161D">
        <w:rPr>
          <w:szCs w:val="24"/>
        </w:rPr>
        <w:t>e</w:t>
      </w:r>
      <w:r w:rsidRPr="00935B4E">
        <w:rPr>
          <w:szCs w:val="24"/>
        </w:rPr>
        <w:t>nvironment namely:</w:t>
      </w:r>
    </w:p>
    <w:p w14:paraId="781E4B7C" w14:textId="72958692" w:rsidR="00935B4E" w:rsidRPr="00935B4E" w:rsidRDefault="004F161D" w:rsidP="00935B4E">
      <w:pPr>
        <w:pStyle w:val="ListParagraph"/>
        <w:widowControl/>
        <w:numPr>
          <w:ilvl w:val="0"/>
          <w:numId w:val="6"/>
        </w:numPr>
        <w:autoSpaceDE/>
        <w:autoSpaceDN/>
        <w:spacing w:before="0" w:after="160"/>
        <w:ind w:right="0"/>
        <w:rPr>
          <w:color w:val="000000" w:themeColor="text1"/>
          <w:szCs w:val="24"/>
        </w:rPr>
      </w:pPr>
      <w:r>
        <w:rPr>
          <w:szCs w:val="24"/>
        </w:rPr>
        <w:t>p</w:t>
      </w:r>
      <w:r w:rsidR="00935B4E" w:rsidRPr="00935B4E">
        <w:rPr>
          <w:szCs w:val="24"/>
        </w:rPr>
        <w:t>ercentage of homes with a valid gas safety certificate</w:t>
      </w:r>
    </w:p>
    <w:p w14:paraId="02A9DD14" w14:textId="71F7FDBE" w:rsidR="00935B4E" w:rsidRPr="00935B4E" w:rsidRDefault="00935B4E" w:rsidP="00935B4E">
      <w:pPr>
        <w:widowControl/>
        <w:autoSpaceDE/>
        <w:autoSpaceDN/>
        <w:spacing w:before="0" w:after="160" w:line="360" w:lineRule="auto"/>
        <w:ind w:left="720"/>
        <w:rPr>
          <w:color w:val="000000" w:themeColor="text1"/>
          <w:szCs w:val="24"/>
        </w:rPr>
      </w:pPr>
      <w:r w:rsidRPr="00935B4E">
        <w:rPr>
          <w:color w:val="000000" w:themeColor="text1"/>
          <w:szCs w:val="24"/>
        </w:rPr>
        <w:lastRenderedPageBreak/>
        <w:t>The performance information is shared with appropriate</w:t>
      </w:r>
      <w:r w:rsidR="00922818">
        <w:rPr>
          <w:color w:val="000000" w:themeColor="text1"/>
          <w:szCs w:val="24"/>
        </w:rPr>
        <w:t>ly</w:t>
      </w:r>
      <w:r w:rsidRPr="00935B4E">
        <w:rPr>
          <w:color w:val="000000" w:themeColor="text1"/>
          <w:szCs w:val="24"/>
        </w:rPr>
        <w:t xml:space="preserve"> engaged residents.</w:t>
      </w:r>
    </w:p>
    <w:p w14:paraId="5465FB0E" w14:textId="040726BF" w:rsidR="00935B4E" w:rsidRPr="00935B4E" w:rsidRDefault="00935B4E" w:rsidP="00935B4E">
      <w:pPr>
        <w:widowControl/>
        <w:autoSpaceDE/>
        <w:autoSpaceDN/>
        <w:spacing w:before="0" w:after="160" w:line="360" w:lineRule="auto"/>
        <w:ind w:left="720"/>
        <w:rPr>
          <w:szCs w:val="24"/>
        </w:rPr>
      </w:pPr>
      <w:r w:rsidRPr="00935B4E">
        <w:rPr>
          <w:szCs w:val="24"/>
        </w:rPr>
        <w:t xml:space="preserve">We will regularly review and monitor the qualifications of all contractors’ employees delivering works to ensure that only appropriately trained and skilled employees are engaged </w:t>
      </w:r>
      <w:proofErr w:type="gramStart"/>
      <w:r w:rsidRPr="00935B4E">
        <w:rPr>
          <w:szCs w:val="24"/>
        </w:rPr>
        <w:t>on</w:t>
      </w:r>
      <w:proofErr w:type="gramEnd"/>
      <w:r w:rsidRPr="00935B4E">
        <w:rPr>
          <w:szCs w:val="24"/>
        </w:rPr>
        <w:t xml:space="preserve"> gas works to our homes.</w:t>
      </w:r>
    </w:p>
    <w:p w14:paraId="0AE22215" w14:textId="77777777" w:rsidR="00935B4E" w:rsidRPr="00935B4E" w:rsidRDefault="00935B4E" w:rsidP="00935B4E">
      <w:pPr>
        <w:pStyle w:val="ListParagraph"/>
        <w:numPr>
          <w:ilvl w:val="0"/>
          <w:numId w:val="0"/>
        </w:numPr>
        <w:ind w:left="720"/>
        <w:jc w:val="both"/>
        <w:rPr>
          <w:szCs w:val="24"/>
        </w:rPr>
      </w:pPr>
      <w:r w:rsidRPr="00935B4E">
        <w:rPr>
          <w:szCs w:val="24"/>
        </w:rPr>
        <w:t>This policy will be reviewed every 2 years, unless new legislation or good practice means it needs to be reviewed sooner.</w:t>
      </w:r>
    </w:p>
    <w:p w14:paraId="55FA9D6B" w14:textId="77777777" w:rsidR="00935B4E" w:rsidRPr="00935B4E" w:rsidRDefault="00935B4E" w:rsidP="00935B4E">
      <w:pPr>
        <w:pStyle w:val="ListParagraph"/>
        <w:numPr>
          <w:ilvl w:val="0"/>
          <w:numId w:val="0"/>
        </w:numPr>
        <w:ind w:left="720"/>
        <w:jc w:val="both"/>
        <w:rPr>
          <w:szCs w:val="24"/>
        </w:rPr>
      </w:pPr>
    </w:p>
    <w:p w14:paraId="0374DDD1" w14:textId="56249995" w:rsidR="00935B4E" w:rsidRPr="00935B4E" w:rsidRDefault="00935B4E" w:rsidP="00935B4E">
      <w:pPr>
        <w:pStyle w:val="Heading2"/>
        <w:spacing w:line="360" w:lineRule="auto"/>
      </w:pPr>
      <w:bookmarkStart w:id="30" w:name="_Toc200227470"/>
      <w:r w:rsidRPr="00935B4E">
        <w:t>1</w:t>
      </w:r>
      <w:r w:rsidR="00842EC5">
        <w:t>0</w:t>
      </w:r>
      <w:proofErr w:type="gramStart"/>
      <w:r w:rsidRPr="00935B4E">
        <w:t xml:space="preserve">. </w:t>
      </w:r>
      <w:r w:rsidRPr="00935B4E">
        <w:tab/>
        <w:t>Diversity</w:t>
      </w:r>
      <w:proofErr w:type="gramEnd"/>
      <w:r w:rsidRPr="00935B4E">
        <w:t xml:space="preserve"> and inclusion</w:t>
      </w:r>
      <w:bookmarkEnd w:id="30"/>
    </w:p>
    <w:p w14:paraId="356E5329" w14:textId="77777777" w:rsidR="00935B4E" w:rsidRPr="003F6528" w:rsidRDefault="00935B4E" w:rsidP="00935B4E">
      <w:pPr>
        <w:spacing w:line="360" w:lineRule="auto"/>
        <w:ind w:left="720"/>
      </w:pPr>
      <w:r w:rsidRPr="003F6528">
        <w:t xml:space="preserve">Ealing Council will ensure that all gas safety information is shared with residents in a form that is easily understood. </w:t>
      </w:r>
    </w:p>
    <w:p w14:paraId="0DF2766A" w14:textId="20AC9497" w:rsidR="00935B4E" w:rsidRPr="00935B4E" w:rsidRDefault="002F6A01" w:rsidP="00935B4E">
      <w:pPr>
        <w:pStyle w:val="ListParagraph"/>
        <w:numPr>
          <w:ilvl w:val="0"/>
          <w:numId w:val="0"/>
        </w:numPr>
        <w:ind w:left="720"/>
        <w:jc w:val="both"/>
        <w:rPr>
          <w:szCs w:val="24"/>
        </w:rPr>
      </w:pPr>
      <w:r w:rsidRPr="003F6528">
        <w:rPr>
          <w:szCs w:val="24"/>
        </w:rPr>
        <w:t>An equality impact assessment ‘initial screening’ has been carried out which has influenced the formation of this policy and will also affect the procedure to make sure that our implementation of this policy does not have a detrimental impact on our disabled or elderly residents.</w:t>
      </w:r>
    </w:p>
    <w:p w14:paraId="06C104DF" w14:textId="28212B92" w:rsidR="008C79D5" w:rsidRPr="00935B4E" w:rsidRDefault="00842EC5" w:rsidP="00935B4E">
      <w:pPr>
        <w:pStyle w:val="Heading2"/>
        <w:spacing w:line="360" w:lineRule="auto"/>
      </w:pPr>
      <w:bookmarkStart w:id="31" w:name="_Toc200227471"/>
      <w:r>
        <w:t>11</w:t>
      </w:r>
      <w:proofErr w:type="gramStart"/>
      <w:r w:rsidR="008C79D5" w:rsidRPr="00935B4E">
        <w:t xml:space="preserve">. </w:t>
      </w:r>
      <w:r w:rsidR="00755FC3" w:rsidRPr="00935B4E">
        <w:tab/>
      </w:r>
      <w:r w:rsidR="008C79D5" w:rsidRPr="00935B4E">
        <w:t>Governance</w:t>
      </w:r>
      <w:bookmarkEnd w:id="20"/>
      <w:bookmarkEnd w:id="21"/>
      <w:bookmarkEnd w:id="22"/>
      <w:bookmarkEnd w:id="31"/>
      <w:proofErr w:type="gramEnd"/>
    </w:p>
    <w:p w14:paraId="404ED7F3" w14:textId="624D2138" w:rsidR="009045B5" w:rsidRPr="00935B4E" w:rsidRDefault="009045B5" w:rsidP="00935B4E">
      <w:pPr>
        <w:spacing w:line="360" w:lineRule="auto"/>
        <w:ind w:left="720"/>
      </w:pPr>
      <w:bookmarkStart w:id="32" w:name="_Toc134787415"/>
      <w:bookmarkStart w:id="33" w:name="_Toc134788222"/>
      <w:bookmarkStart w:id="34" w:name="_Toc134789738"/>
      <w:r w:rsidRPr="00935B4E">
        <w:t xml:space="preserve">The Ealing Cabinet has overall responsibility for ensuring that this </w:t>
      </w:r>
      <w:r w:rsidR="000A63CE" w:rsidRPr="00935B4E">
        <w:t>p</w:t>
      </w:r>
      <w:r w:rsidRPr="00935B4E">
        <w:t>olicy is implemented to ensure compliance with the law.</w:t>
      </w:r>
    </w:p>
    <w:p w14:paraId="67BC530D" w14:textId="1561FA41" w:rsidR="009045B5" w:rsidRPr="00935B4E" w:rsidRDefault="009045B5" w:rsidP="00935B4E">
      <w:pPr>
        <w:spacing w:line="360" w:lineRule="auto"/>
        <w:ind w:left="720"/>
      </w:pPr>
      <w:r w:rsidRPr="00935B4E">
        <w:t>In practical terms</w:t>
      </w:r>
      <w:r w:rsidR="00085D9A">
        <w:t>,</w:t>
      </w:r>
      <w:r w:rsidRPr="00935B4E">
        <w:t xml:space="preserve"> the </w:t>
      </w:r>
      <w:r w:rsidR="000A63CE" w:rsidRPr="00935B4E">
        <w:t>c</w:t>
      </w:r>
      <w:r w:rsidRPr="00935B4E">
        <w:t xml:space="preserve">hief </w:t>
      </w:r>
      <w:r w:rsidR="000A63CE" w:rsidRPr="00935B4E">
        <w:t>e</w:t>
      </w:r>
      <w:r w:rsidRPr="00935B4E">
        <w:t xml:space="preserve">xecutive reports to </w:t>
      </w:r>
      <w:r w:rsidR="000A63CE" w:rsidRPr="00935B4E">
        <w:t>c</w:t>
      </w:r>
      <w:r w:rsidRPr="00935B4E">
        <w:t xml:space="preserve">abinet to demonstrate accountability for corporate </w:t>
      </w:r>
      <w:r w:rsidR="000A63CE" w:rsidRPr="00935B4E">
        <w:t>h</w:t>
      </w:r>
      <w:r w:rsidRPr="00935B4E">
        <w:t>ealth</w:t>
      </w:r>
      <w:r w:rsidR="000A63CE" w:rsidRPr="00935B4E">
        <w:t xml:space="preserve"> and s</w:t>
      </w:r>
      <w:r w:rsidRPr="00935B4E">
        <w:t xml:space="preserve">afety across the </w:t>
      </w:r>
      <w:r w:rsidR="000A63CE" w:rsidRPr="00935B4E">
        <w:t>c</w:t>
      </w:r>
      <w:r w:rsidRPr="00935B4E">
        <w:t xml:space="preserve">ouncil and will also ensure that property </w:t>
      </w:r>
      <w:r w:rsidR="000A63CE" w:rsidRPr="00935B4E">
        <w:t>h</w:t>
      </w:r>
      <w:r w:rsidRPr="00935B4E">
        <w:t xml:space="preserve">ealth </w:t>
      </w:r>
      <w:r w:rsidR="000A63CE" w:rsidRPr="00935B4E">
        <w:t>and s</w:t>
      </w:r>
      <w:r w:rsidRPr="00935B4E">
        <w:t>afety compliance management duties in its landlord function, are properly assigned and managed.</w:t>
      </w:r>
    </w:p>
    <w:p w14:paraId="3ECB08FE" w14:textId="53699F2C" w:rsidR="009045B5" w:rsidRPr="00935B4E" w:rsidRDefault="009045B5" w:rsidP="00935B4E">
      <w:pPr>
        <w:spacing w:line="360" w:lineRule="auto"/>
        <w:ind w:left="720"/>
      </w:pPr>
      <w:r w:rsidRPr="00935B4E">
        <w:lastRenderedPageBreak/>
        <w:t xml:space="preserve">The day-to-day responsibility for gas safety for the </w:t>
      </w:r>
      <w:r w:rsidR="000A63CE" w:rsidRPr="00935B4E">
        <w:t>c</w:t>
      </w:r>
      <w:r w:rsidRPr="00935B4E">
        <w:t xml:space="preserve">ouncil’s housing stock that is implemented in line with this policy has been delegated, via the </w:t>
      </w:r>
      <w:r w:rsidR="000A63CE" w:rsidRPr="00935B4E">
        <w:t>c</w:t>
      </w:r>
      <w:r w:rsidRPr="00935B4E">
        <w:t xml:space="preserve">hief </w:t>
      </w:r>
      <w:r w:rsidR="000A63CE" w:rsidRPr="00935B4E">
        <w:t>e</w:t>
      </w:r>
      <w:r w:rsidRPr="00935B4E">
        <w:t xml:space="preserve">xecutive, to the </w:t>
      </w:r>
      <w:r w:rsidR="000A63CE" w:rsidRPr="00935B4E">
        <w:t>s</w:t>
      </w:r>
      <w:r w:rsidRPr="00935B4E">
        <w:t xml:space="preserve">trategic </w:t>
      </w:r>
      <w:r w:rsidR="000A63CE" w:rsidRPr="00935B4E">
        <w:t>d</w:t>
      </w:r>
      <w:r w:rsidRPr="00935B4E">
        <w:t xml:space="preserve">irector of </w:t>
      </w:r>
      <w:r w:rsidR="000A63CE" w:rsidRPr="00935B4E">
        <w:t>h</w:t>
      </w:r>
      <w:r w:rsidRPr="00935B4E">
        <w:t xml:space="preserve">ousing </w:t>
      </w:r>
      <w:r w:rsidR="000A63CE" w:rsidRPr="00935B4E">
        <w:t>and e</w:t>
      </w:r>
      <w:r w:rsidRPr="00935B4E">
        <w:t xml:space="preserve">nvironment. </w:t>
      </w:r>
    </w:p>
    <w:p w14:paraId="0E24C800" w14:textId="31B64E55" w:rsidR="009045B5" w:rsidRPr="00935B4E" w:rsidRDefault="009045B5" w:rsidP="00935B4E">
      <w:pPr>
        <w:spacing w:line="360" w:lineRule="auto"/>
        <w:ind w:left="720"/>
      </w:pPr>
      <w:r w:rsidRPr="00935B4E">
        <w:t xml:space="preserve">The </w:t>
      </w:r>
      <w:r w:rsidR="000A63CE" w:rsidRPr="00935B4E">
        <w:t>g</w:t>
      </w:r>
      <w:r w:rsidRPr="00935B4E">
        <w:t xml:space="preserve">as safety management plan also identifies the roles and responsibilities of those who will undertake the day-to-day tasks on behalf of the </w:t>
      </w:r>
      <w:r w:rsidR="000A63CE" w:rsidRPr="00935B4E">
        <w:t>s</w:t>
      </w:r>
      <w:r w:rsidRPr="00935B4E">
        <w:t xml:space="preserve">trategic </w:t>
      </w:r>
      <w:r w:rsidR="000A63CE" w:rsidRPr="00935B4E">
        <w:t>d</w:t>
      </w:r>
      <w:r w:rsidRPr="00935B4E">
        <w:t xml:space="preserve">irector of </w:t>
      </w:r>
      <w:r w:rsidR="000A63CE" w:rsidRPr="00935B4E">
        <w:t>h</w:t>
      </w:r>
      <w:r w:rsidRPr="00935B4E">
        <w:t xml:space="preserve">ousing </w:t>
      </w:r>
      <w:r w:rsidR="000A63CE" w:rsidRPr="00935B4E">
        <w:t>and e</w:t>
      </w:r>
      <w:r w:rsidRPr="00935B4E">
        <w:t>nvironment.</w:t>
      </w:r>
    </w:p>
    <w:p w14:paraId="66020796" w14:textId="7CEE047A" w:rsidR="007E1C93" w:rsidRPr="00935B4E" w:rsidRDefault="00842EC5" w:rsidP="00935B4E">
      <w:pPr>
        <w:pStyle w:val="Heading2"/>
        <w:spacing w:line="360" w:lineRule="auto"/>
      </w:pPr>
      <w:bookmarkStart w:id="35" w:name="_Toc200227472"/>
      <w:bookmarkStart w:id="36" w:name="_Toc134787420"/>
      <w:bookmarkStart w:id="37" w:name="_Toc134788227"/>
      <w:bookmarkStart w:id="38" w:name="_Toc134789743"/>
      <w:bookmarkStart w:id="39" w:name="_Hlk109247944"/>
      <w:bookmarkEnd w:id="32"/>
      <w:bookmarkEnd w:id="33"/>
      <w:bookmarkEnd w:id="34"/>
      <w:r>
        <w:t>12</w:t>
      </w:r>
      <w:proofErr w:type="gramStart"/>
      <w:r w:rsidR="007E1C93" w:rsidRPr="00935B4E">
        <w:t xml:space="preserve">. </w:t>
      </w:r>
      <w:r w:rsidR="007E1C93" w:rsidRPr="00935B4E">
        <w:tab/>
        <w:t>Legal</w:t>
      </w:r>
      <w:proofErr w:type="gramEnd"/>
      <w:r w:rsidR="007E1C93" w:rsidRPr="00935B4E">
        <w:t xml:space="preserve"> framework</w:t>
      </w:r>
      <w:bookmarkEnd w:id="35"/>
    </w:p>
    <w:p w14:paraId="76E9F043" w14:textId="77777777" w:rsidR="007E1C93" w:rsidRPr="00935B4E" w:rsidRDefault="007E1C93" w:rsidP="00935B4E">
      <w:pPr>
        <w:spacing w:line="360" w:lineRule="auto"/>
        <w:ind w:left="720"/>
      </w:pPr>
      <w:r w:rsidRPr="00935B4E">
        <w:t xml:space="preserve">There is a significant raft of legislation and regulation around gas safety in residential buildings that has developed over the years: </w:t>
      </w:r>
    </w:p>
    <w:p w14:paraId="07B33454" w14:textId="658F74CF" w:rsidR="007E1C93" w:rsidRPr="00935B4E" w:rsidRDefault="007E1C93" w:rsidP="00935B4E">
      <w:pPr>
        <w:pStyle w:val="ListParagraph"/>
        <w:numPr>
          <w:ilvl w:val="0"/>
          <w:numId w:val="4"/>
        </w:numPr>
      </w:pPr>
      <w:r w:rsidRPr="00935B4E">
        <w:t>Health and Safety at Work</w:t>
      </w:r>
      <w:r w:rsidR="0038744E">
        <w:t xml:space="preserve"> </w:t>
      </w:r>
      <w:proofErr w:type="spellStart"/>
      <w:r w:rsidR="0038744E">
        <w:t>etc</w:t>
      </w:r>
      <w:proofErr w:type="spellEnd"/>
      <w:r w:rsidRPr="00935B4E">
        <w:t xml:space="preserve"> Act 1974, particularly Section 3: - General duties of Employers and Self-employed </w:t>
      </w:r>
      <w:proofErr w:type="gramStart"/>
      <w:r w:rsidRPr="00935B4E">
        <w:t>persons</w:t>
      </w:r>
      <w:proofErr w:type="gramEnd"/>
      <w:r w:rsidRPr="00935B4E">
        <w:t xml:space="preserve"> other than their employees</w:t>
      </w:r>
    </w:p>
    <w:p w14:paraId="00EB22E8" w14:textId="77777777" w:rsidR="007E1C93" w:rsidRPr="00935B4E" w:rsidRDefault="007E1C93" w:rsidP="00935B4E">
      <w:pPr>
        <w:pStyle w:val="ListParagraph"/>
        <w:numPr>
          <w:ilvl w:val="0"/>
          <w:numId w:val="4"/>
        </w:numPr>
      </w:pPr>
      <w:r w:rsidRPr="00935B4E">
        <w:t>Landlord and Tenant Act 1985</w:t>
      </w:r>
    </w:p>
    <w:p w14:paraId="57A6CE16" w14:textId="4B810B81" w:rsidR="007E1C93" w:rsidRPr="00935B4E" w:rsidRDefault="00CC3A06" w:rsidP="00935B4E">
      <w:pPr>
        <w:pStyle w:val="ListParagraph"/>
        <w:numPr>
          <w:ilvl w:val="0"/>
          <w:numId w:val="4"/>
        </w:numPr>
      </w:pPr>
      <w:r>
        <w:t xml:space="preserve">The </w:t>
      </w:r>
      <w:r w:rsidR="007E1C93" w:rsidRPr="00935B4E">
        <w:t xml:space="preserve">Workplace (Health, Safety &amp; Welfare) Regulations 1992  </w:t>
      </w:r>
    </w:p>
    <w:p w14:paraId="353CF77D" w14:textId="30A339B1" w:rsidR="007E1C93" w:rsidRPr="00935B4E" w:rsidRDefault="007E1C93" w:rsidP="00935B4E">
      <w:pPr>
        <w:pStyle w:val="ListParagraph"/>
        <w:numPr>
          <w:ilvl w:val="0"/>
          <w:numId w:val="4"/>
        </w:numPr>
      </w:pPr>
      <w:r w:rsidRPr="00935B4E">
        <w:t xml:space="preserve">Gas Safety (Management) Regulations </w:t>
      </w:r>
      <w:commentRangeStart w:id="40"/>
      <w:commentRangeStart w:id="41"/>
      <w:r w:rsidRPr="00935B4E">
        <w:t>199</w:t>
      </w:r>
      <w:commentRangeEnd w:id="40"/>
      <w:r w:rsidR="00397654">
        <w:rPr>
          <w:rStyle w:val="CommentReference"/>
          <w:rFonts w:asciiTheme="minorHAnsi" w:eastAsiaTheme="minorHAnsi" w:hAnsiTheme="minorHAnsi" w:cstheme="minorBidi"/>
          <w:lang w:val="en-GB"/>
        </w:rPr>
        <w:commentReference w:id="40"/>
      </w:r>
      <w:commentRangeEnd w:id="41"/>
      <w:r w:rsidR="00EF00CC">
        <w:rPr>
          <w:rStyle w:val="CommentReference"/>
          <w:rFonts w:asciiTheme="minorHAnsi" w:eastAsiaTheme="minorHAnsi" w:hAnsiTheme="minorHAnsi" w:cstheme="minorBidi"/>
          <w:lang w:val="en-GB"/>
        </w:rPr>
        <w:commentReference w:id="41"/>
      </w:r>
      <w:r w:rsidR="00EF00CC">
        <w:t>6</w:t>
      </w:r>
      <w:r w:rsidRPr="00935B4E">
        <w:t xml:space="preserve"> </w:t>
      </w:r>
    </w:p>
    <w:p w14:paraId="7EEF3F03" w14:textId="77777777" w:rsidR="007E1C93" w:rsidRPr="00935B4E" w:rsidRDefault="007E1C93" w:rsidP="00935B4E">
      <w:pPr>
        <w:pStyle w:val="ListParagraph"/>
        <w:numPr>
          <w:ilvl w:val="0"/>
          <w:numId w:val="4"/>
        </w:numPr>
      </w:pPr>
      <w:commentRangeStart w:id="42"/>
      <w:commentRangeStart w:id="43"/>
      <w:r w:rsidRPr="00935B4E">
        <w:t>Right to Repair Scheme (introduced 1994)</w:t>
      </w:r>
      <w:commentRangeEnd w:id="42"/>
      <w:r w:rsidR="0092029D">
        <w:rPr>
          <w:rStyle w:val="CommentReference"/>
          <w:rFonts w:asciiTheme="minorHAnsi" w:eastAsiaTheme="minorHAnsi" w:hAnsiTheme="minorHAnsi" w:cstheme="minorBidi"/>
          <w:lang w:val="en-GB"/>
        </w:rPr>
        <w:commentReference w:id="42"/>
      </w:r>
      <w:commentRangeEnd w:id="43"/>
      <w:r w:rsidR="00ED534D">
        <w:rPr>
          <w:rStyle w:val="CommentReference"/>
          <w:rFonts w:asciiTheme="minorHAnsi" w:eastAsiaTheme="minorHAnsi" w:hAnsiTheme="minorHAnsi" w:cstheme="minorBidi"/>
          <w:lang w:val="en-GB"/>
        </w:rPr>
        <w:commentReference w:id="43"/>
      </w:r>
    </w:p>
    <w:p w14:paraId="3B5156AB" w14:textId="77777777" w:rsidR="007E1C93" w:rsidRPr="00935B4E" w:rsidRDefault="007E1C93" w:rsidP="00935B4E">
      <w:pPr>
        <w:pStyle w:val="ListParagraph"/>
        <w:numPr>
          <w:ilvl w:val="0"/>
          <w:numId w:val="4"/>
        </w:numPr>
      </w:pPr>
      <w:r w:rsidRPr="00935B4E">
        <w:t>The Gas Safety (Rights of Entry) Regulations 1996</w:t>
      </w:r>
    </w:p>
    <w:p w14:paraId="3A76AC46" w14:textId="77777777" w:rsidR="007E1C93" w:rsidRPr="00935B4E" w:rsidRDefault="007E1C93" w:rsidP="00935B4E">
      <w:pPr>
        <w:pStyle w:val="ListParagraph"/>
        <w:numPr>
          <w:ilvl w:val="0"/>
          <w:numId w:val="4"/>
        </w:numPr>
      </w:pPr>
      <w:r w:rsidRPr="00935B4E">
        <w:t>Gas Safety (Installation and Use) Regulations 1998</w:t>
      </w:r>
    </w:p>
    <w:p w14:paraId="75BBBE36" w14:textId="00E90F60" w:rsidR="007E1C93" w:rsidRPr="00935B4E" w:rsidRDefault="007E1C93" w:rsidP="00935B4E">
      <w:pPr>
        <w:pStyle w:val="ListParagraph"/>
        <w:numPr>
          <w:ilvl w:val="0"/>
          <w:numId w:val="4"/>
        </w:numPr>
      </w:pPr>
      <w:r w:rsidRPr="00935B4E">
        <w:t xml:space="preserve">Management of Health </w:t>
      </w:r>
      <w:r w:rsidR="00B16F19">
        <w:t>and</w:t>
      </w:r>
      <w:r w:rsidRPr="00935B4E">
        <w:t xml:space="preserve"> Safety at Work Regulations 1999</w:t>
      </w:r>
    </w:p>
    <w:p w14:paraId="3E7D1414" w14:textId="77777777" w:rsidR="007E1C93" w:rsidRPr="00935B4E" w:rsidRDefault="007E1C93" w:rsidP="00935B4E">
      <w:pPr>
        <w:pStyle w:val="ListParagraph"/>
        <w:numPr>
          <w:ilvl w:val="0"/>
          <w:numId w:val="4"/>
        </w:numPr>
      </w:pPr>
      <w:r w:rsidRPr="00935B4E">
        <w:t>Housing Act 2004</w:t>
      </w:r>
    </w:p>
    <w:p w14:paraId="5F7823D9" w14:textId="77777777" w:rsidR="007E1C93" w:rsidRPr="00935B4E" w:rsidRDefault="007E1C93" w:rsidP="00935B4E">
      <w:pPr>
        <w:pStyle w:val="ListParagraph"/>
        <w:numPr>
          <w:ilvl w:val="0"/>
          <w:numId w:val="4"/>
        </w:numPr>
      </w:pPr>
      <w:r w:rsidRPr="00935B4E">
        <w:t xml:space="preserve">The Construction (Design and Management) Regulations 2015 </w:t>
      </w:r>
    </w:p>
    <w:p w14:paraId="1F041AD8" w14:textId="77777777" w:rsidR="007E1C93" w:rsidRPr="00935B4E" w:rsidRDefault="007E1C93" w:rsidP="00935B4E">
      <w:pPr>
        <w:pStyle w:val="ListParagraph"/>
        <w:numPr>
          <w:ilvl w:val="0"/>
          <w:numId w:val="4"/>
        </w:numPr>
      </w:pPr>
      <w:r w:rsidRPr="00935B4E">
        <w:t>Building Safety Act 2022</w:t>
      </w:r>
    </w:p>
    <w:p w14:paraId="7B86903B" w14:textId="701FE08F" w:rsidR="007E1C93" w:rsidRPr="00935B4E" w:rsidRDefault="007E1C93" w:rsidP="00935B4E">
      <w:pPr>
        <w:pStyle w:val="ListParagraph"/>
        <w:numPr>
          <w:ilvl w:val="0"/>
          <w:numId w:val="4"/>
        </w:numPr>
      </w:pPr>
      <w:r w:rsidRPr="00935B4E">
        <w:t xml:space="preserve">Building Regulations  </w:t>
      </w:r>
    </w:p>
    <w:p w14:paraId="74581760" w14:textId="2413C3B2" w:rsidR="007E1C93" w:rsidRPr="00935B4E" w:rsidRDefault="00981C09" w:rsidP="00935B4E">
      <w:pPr>
        <w:pStyle w:val="ListParagraph"/>
        <w:numPr>
          <w:ilvl w:val="0"/>
          <w:numId w:val="4"/>
        </w:numPr>
      </w:pPr>
      <w:r>
        <w:rPr>
          <w:szCs w:val="24"/>
        </w:rPr>
        <w:t xml:space="preserve">The </w:t>
      </w:r>
      <w:r w:rsidR="007E1C93" w:rsidRPr="00935B4E">
        <w:rPr>
          <w:szCs w:val="24"/>
        </w:rPr>
        <w:t xml:space="preserve">Reporting of Injuries, Diseases and Dangerous </w:t>
      </w:r>
      <w:r w:rsidR="007E1C93" w:rsidRPr="00935B4E">
        <w:rPr>
          <w:szCs w:val="24"/>
        </w:rPr>
        <w:lastRenderedPageBreak/>
        <w:t>Occurrences Regulations (RIDDOR) 2013</w:t>
      </w:r>
    </w:p>
    <w:p w14:paraId="6E161ACE" w14:textId="64F38EAF" w:rsidR="008C79D5" w:rsidRPr="00935B4E" w:rsidRDefault="001C76DC" w:rsidP="00935B4E">
      <w:pPr>
        <w:pStyle w:val="Heading2"/>
        <w:spacing w:line="360" w:lineRule="auto"/>
      </w:pPr>
      <w:bookmarkStart w:id="44" w:name="_Toc200227473"/>
      <w:r w:rsidRPr="00935B4E">
        <w:t>1</w:t>
      </w:r>
      <w:r w:rsidR="00842EC5">
        <w:t>3</w:t>
      </w:r>
      <w:proofErr w:type="gramStart"/>
      <w:r w:rsidRPr="00935B4E">
        <w:t xml:space="preserve">. </w:t>
      </w:r>
      <w:r w:rsidRPr="00935B4E">
        <w:tab/>
      </w:r>
      <w:bookmarkEnd w:id="36"/>
      <w:bookmarkEnd w:id="37"/>
      <w:bookmarkEnd w:id="38"/>
      <w:r w:rsidR="00935B4E" w:rsidRPr="00935B4E">
        <w:t>Associated</w:t>
      </w:r>
      <w:proofErr w:type="gramEnd"/>
      <w:r w:rsidR="00935B4E" w:rsidRPr="00935B4E">
        <w:t xml:space="preserve"> policies and procedures</w:t>
      </w:r>
      <w:bookmarkEnd w:id="44"/>
    </w:p>
    <w:bookmarkEnd w:id="39"/>
    <w:p w14:paraId="1DB226B3" w14:textId="77777777" w:rsidR="00935B4E" w:rsidRPr="00935B4E" w:rsidRDefault="00935B4E" w:rsidP="00935B4E">
      <w:pPr>
        <w:spacing w:line="360" w:lineRule="auto"/>
        <w:ind w:left="720"/>
        <w:rPr>
          <w:color w:val="000000" w:themeColor="text1"/>
          <w:szCs w:val="24"/>
        </w:rPr>
      </w:pPr>
      <w:r w:rsidRPr="00935B4E">
        <w:rPr>
          <w:color w:val="000000" w:themeColor="text1"/>
          <w:szCs w:val="24"/>
        </w:rPr>
        <w:t>Voids policy</w:t>
      </w:r>
    </w:p>
    <w:p w14:paraId="56835913" w14:textId="29E542D5" w:rsidR="00935B4E" w:rsidRPr="00935B4E" w:rsidRDefault="00935B4E" w:rsidP="00935B4E">
      <w:pPr>
        <w:spacing w:line="360" w:lineRule="auto"/>
        <w:ind w:left="720"/>
        <w:rPr>
          <w:color w:val="000000" w:themeColor="text1"/>
          <w:szCs w:val="24"/>
        </w:rPr>
      </w:pPr>
      <w:r w:rsidRPr="00935B4E">
        <w:rPr>
          <w:color w:val="000000" w:themeColor="text1"/>
          <w:szCs w:val="24"/>
        </w:rPr>
        <w:t xml:space="preserve">Repairs </w:t>
      </w:r>
      <w:r w:rsidR="00D64353">
        <w:rPr>
          <w:color w:val="000000" w:themeColor="text1"/>
          <w:szCs w:val="24"/>
        </w:rPr>
        <w:t>p</w:t>
      </w:r>
      <w:r w:rsidRPr="00935B4E">
        <w:rPr>
          <w:color w:val="000000" w:themeColor="text1"/>
          <w:szCs w:val="24"/>
        </w:rPr>
        <w:t>olicy</w:t>
      </w:r>
    </w:p>
    <w:p w14:paraId="07FD02A6" w14:textId="5B419DB9" w:rsidR="00935B4E" w:rsidRPr="00935B4E" w:rsidRDefault="00935B4E" w:rsidP="00935B4E">
      <w:pPr>
        <w:spacing w:line="360" w:lineRule="auto"/>
        <w:ind w:left="720"/>
        <w:rPr>
          <w:color w:val="000000" w:themeColor="text1"/>
          <w:szCs w:val="24"/>
        </w:rPr>
      </w:pPr>
      <w:r w:rsidRPr="00935B4E">
        <w:rPr>
          <w:color w:val="000000" w:themeColor="text1"/>
          <w:szCs w:val="24"/>
        </w:rPr>
        <w:t xml:space="preserve">Gaining access </w:t>
      </w:r>
      <w:r w:rsidR="00D64353">
        <w:rPr>
          <w:color w:val="000000" w:themeColor="text1"/>
          <w:szCs w:val="24"/>
        </w:rPr>
        <w:t>p</w:t>
      </w:r>
      <w:r w:rsidRPr="00935B4E">
        <w:rPr>
          <w:color w:val="000000" w:themeColor="text1"/>
          <w:szCs w:val="24"/>
        </w:rPr>
        <w:t>olicy</w:t>
      </w:r>
    </w:p>
    <w:p w14:paraId="105B5E7E" w14:textId="3C7522B7" w:rsidR="00935B4E" w:rsidRPr="00935B4E" w:rsidRDefault="00935B4E" w:rsidP="00935B4E">
      <w:pPr>
        <w:spacing w:line="360" w:lineRule="auto"/>
        <w:ind w:left="720"/>
        <w:rPr>
          <w:color w:val="000000" w:themeColor="text1"/>
          <w:szCs w:val="24"/>
        </w:rPr>
      </w:pPr>
      <w:r w:rsidRPr="00935B4E">
        <w:rPr>
          <w:color w:val="000000" w:themeColor="text1"/>
          <w:szCs w:val="24"/>
        </w:rPr>
        <w:t xml:space="preserve">Building </w:t>
      </w:r>
      <w:r w:rsidR="00D64353">
        <w:rPr>
          <w:color w:val="000000" w:themeColor="text1"/>
          <w:szCs w:val="24"/>
        </w:rPr>
        <w:t>s</w:t>
      </w:r>
      <w:r w:rsidRPr="00935B4E">
        <w:rPr>
          <w:color w:val="000000" w:themeColor="text1"/>
          <w:szCs w:val="24"/>
        </w:rPr>
        <w:t xml:space="preserve">afety </w:t>
      </w:r>
      <w:r w:rsidR="00521F2A">
        <w:rPr>
          <w:color w:val="000000" w:themeColor="text1"/>
          <w:szCs w:val="24"/>
        </w:rPr>
        <w:t>p</w:t>
      </w:r>
      <w:r w:rsidRPr="00935B4E">
        <w:rPr>
          <w:color w:val="000000" w:themeColor="text1"/>
          <w:szCs w:val="24"/>
        </w:rPr>
        <w:t>olicy</w:t>
      </w:r>
    </w:p>
    <w:p w14:paraId="1C44C67E" w14:textId="74C1AD34" w:rsidR="00935B4E" w:rsidRPr="00935B4E" w:rsidRDefault="00935B4E" w:rsidP="00935B4E">
      <w:pPr>
        <w:spacing w:line="360" w:lineRule="auto"/>
        <w:ind w:left="720"/>
        <w:rPr>
          <w:color w:val="000000" w:themeColor="text1"/>
          <w:szCs w:val="24"/>
        </w:rPr>
      </w:pPr>
      <w:r w:rsidRPr="00935B4E">
        <w:rPr>
          <w:color w:val="000000" w:themeColor="text1"/>
          <w:szCs w:val="24"/>
        </w:rPr>
        <w:t xml:space="preserve">Leaseholder </w:t>
      </w:r>
      <w:r w:rsidR="00521F2A">
        <w:rPr>
          <w:color w:val="000000" w:themeColor="text1"/>
          <w:szCs w:val="24"/>
        </w:rPr>
        <w:t>p</w:t>
      </w:r>
      <w:r w:rsidRPr="00935B4E">
        <w:rPr>
          <w:color w:val="000000" w:themeColor="text1"/>
          <w:szCs w:val="24"/>
        </w:rPr>
        <w:t>olicy</w:t>
      </w:r>
    </w:p>
    <w:p w14:paraId="580BDDB9" w14:textId="451EA538" w:rsidR="00935B4E" w:rsidRPr="00935B4E" w:rsidRDefault="00935B4E" w:rsidP="00935B4E">
      <w:pPr>
        <w:spacing w:line="360" w:lineRule="auto"/>
        <w:ind w:left="720"/>
        <w:rPr>
          <w:color w:val="000000" w:themeColor="text1"/>
          <w:szCs w:val="24"/>
        </w:rPr>
      </w:pPr>
      <w:r w:rsidRPr="00935B4E">
        <w:rPr>
          <w:color w:val="000000" w:themeColor="text1"/>
          <w:szCs w:val="24"/>
        </w:rPr>
        <w:t xml:space="preserve">Tenancy management </w:t>
      </w:r>
      <w:r w:rsidR="00521F2A">
        <w:rPr>
          <w:color w:val="000000" w:themeColor="text1"/>
          <w:szCs w:val="24"/>
        </w:rPr>
        <w:t>p</w:t>
      </w:r>
      <w:r w:rsidRPr="00935B4E">
        <w:rPr>
          <w:color w:val="000000" w:themeColor="text1"/>
          <w:szCs w:val="24"/>
        </w:rPr>
        <w:t>olicy</w:t>
      </w:r>
    </w:p>
    <w:p w14:paraId="286E27C5" w14:textId="44A69157" w:rsidR="00935B4E" w:rsidRDefault="00935B4E" w:rsidP="00935B4E">
      <w:pPr>
        <w:spacing w:line="360" w:lineRule="auto"/>
        <w:ind w:left="720"/>
        <w:rPr>
          <w:color w:val="000000" w:themeColor="text1"/>
          <w:szCs w:val="24"/>
        </w:rPr>
      </w:pPr>
      <w:r w:rsidRPr="00935B4E">
        <w:rPr>
          <w:color w:val="000000" w:themeColor="text1"/>
          <w:szCs w:val="24"/>
        </w:rPr>
        <w:t>Gas safety management plan</w:t>
      </w:r>
    </w:p>
    <w:p w14:paraId="383AA409" w14:textId="46CB198F" w:rsidR="00405DFD" w:rsidRPr="00935B4E" w:rsidRDefault="00405DFD" w:rsidP="2E5017A7">
      <w:pPr>
        <w:spacing w:line="360" w:lineRule="auto"/>
        <w:ind w:left="720"/>
        <w:rPr>
          <w:color w:val="000000" w:themeColor="text1"/>
        </w:rPr>
      </w:pPr>
      <w:r w:rsidRPr="003F6528">
        <w:rPr>
          <w:color w:val="000000" w:themeColor="text1"/>
        </w:rPr>
        <w:t xml:space="preserve">Housing </w:t>
      </w:r>
      <w:r w:rsidR="00521F2A">
        <w:rPr>
          <w:color w:val="000000" w:themeColor="text1"/>
        </w:rPr>
        <w:t>h</w:t>
      </w:r>
      <w:r w:rsidRPr="003F6528">
        <w:rPr>
          <w:color w:val="000000" w:themeColor="text1"/>
        </w:rPr>
        <w:t xml:space="preserve">ousehold </w:t>
      </w:r>
      <w:r w:rsidR="00521F2A">
        <w:rPr>
          <w:color w:val="000000" w:themeColor="text1"/>
        </w:rPr>
        <w:t>v</w:t>
      </w:r>
      <w:r w:rsidRPr="003F6528">
        <w:rPr>
          <w:color w:val="000000" w:themeColor="text1"/>
        </w:rPr>
        <w:t>ulnerabi</w:t>
      </w:r>
      <w:r w:rsidR="78E87CE6" w:rsidRPr="003F6528">
        <w:rPr>
          <w:color w:val="000000" w:themeColor="text1"/>
        </w:rPr>
        <w:t>li</w:t>
      </w:r>
      <w:r w:rsidRPr="003F6528">
        <w:rPr>
          <w:color w:val="000000" w:themeColor="text1"/>
        </w:rPr>
        <w:t xml:space="preserve">ty and </w:t>
      </w:r>
      <w:r w:rsidR="00521F2A">
        <w:rPr>
          <w:color w:val="000000" w:themeColor="text1"/>
        </w:rPr>
        <w:t>r</w:t>
      </w:r>
      <w:r w:rsidRPr="003F6528">
        <w:rPr>
          <w:color w:val="000000" w:themeColor="text1"/>
        </w:rPr>
        <w:t xml:space="preserve">easonable </w:t>
      </w:r>
      <w:r w:rsidR="00521F2A">
        <w:rPr>
          <w:color w:val="000000" w:themeColor="text1"/>
        </w:rPr>
        <w:t>a</w:t>
      </w:r>
      <w:r w:rsidRPr="003F6528">
        <w:rPr>
          <w:color w:val="000000" w:themeColor="text1"/>
        </w:rPr>
        <w:t xml:space="preserve">djustments </w:t>
      </w:r>
      <w:r w:rsidR="00521F2A">
        <w:rPr>
          <w:color w:val="000000" w:themeColor="text1"/>
        </w:rPr>
        <w:t>p</w:t>
      </w:r>
      <w:r w:rsidRPr="003F6528">
        <w:rPr>
          <w:color w:val="000000" w:themeColor="text1"/>
        </w:rPr>
        <w:t>olicy</w:t>
      </w:r>
    </w:p>
    <w:p w14:paraId="78B23F46" w14:textId="4C8F9DE4" w:rsidR="0041170A" w:rsidRPr="00935B4E" w:rsidRDefault="0041170A" w:rsidP="00935B4E">
      <w:pPr>
        <w:pStyle w:val="Heading2"/>
        <w:spacing w:line="360" w:lineRule="auto"/>
      </w:pPr>
      <w:bookmarkStart w:id="45" w:name="_Toc200227474"/>
      <w:r w:rsidRPr="00935B4E">
        <w:t>1</w:t>
      </w:r>
      <w:r w:rsidR="00842EC5">
        <w:t>4</w:t>
      </w:r>
      <w:r w:rsidRPr="00935B4E">
        <w:t>.</w:t>
      </w:r>
      <w:r w:rsidRPr="00935B4E">
        <w:tab/>
        <w:t>Implementation</w:t>
      </w:r>
      <w:bookmarkEnd w:id="45"/>
    </w:p>
    <w:p w14:paraId="72554A08" w14:textId="59723E34" w:rsidR="00204F64" w:rsidRPr="00935B4E" w:rsidRDefault="00204F64" w:rsidP="00935B4E">
      <w:pPr>
        <w:spacing w:line="360" w:lineRule="auto"/>
        <w:ind w:left="720"/>
        <w:rPr>
          <w:b/>
          <w:bCs/>
        </w:rPr>
      </w:pPr>
      <w:r w:rsidRPr="00935B4E">
        <w:t xml:space="preserve">Implementation of this </w:t>
      </w:r>
      <w:r w:rsidR="008C5C9C" w:rsidRPr="00935B4E">
        <w:t>p</w:t>
      </w:r>
      <w:r w:rsidRPr="00935B4E">
        <w:t xml:space="preserve">olicy is through the </w:t>
      </w:r>
      <w:r w:rsidR="009045B5" w:rsidRPr="00935B4E">
        <w:t>gas</w:t>
      </w:r>
      <w:r w:rsidRPr="00935B4E">
        <w:t xml:space="preserve"> </w:t>
      </w:r>
      <w:r w:rsidR="008C5C9C" w:rsidRPr="00935B4E">
        <w:t>s</w:t>
      </w:r>
      <w:r w:rsidRPr="00935B4E">
        <w:t xml:space="preserve">afety </w:t>
      </w:r>
      <w:r w:rsidR="008C5C9C" w:rsidRPr="00935B4E">
        <w:t>m</w:t>
      </w:r>
      <w:r w:rsidRPr="00935B4E">
        <w:t xml:space="preserve">anagement </w:t>
      </w:r>
      <w:r w:rsidR="008C5C9C" w:rsidRPr="00935B4E">
        <w:t>p</w:t>
      </w:r>
      <w:r w:rsidRPr="00935B4E">
        <w:t xml:space="preserve">lan and associated </w:t>
      </w:r>
      <w:r w:rsidR="009045B5" w:rsidRPr="00935B4E">
        <w:t>forms and flow charts</w:t>
      </w:r>
      <w:r w:rsidRPr="00935B4E">
        <w:t xml:space="preserve">. </w:t>
      </w:r>
    </w:p>
    <w:p w14:paraId="524ECED9" w14:textId="77777777" w:rsidR="008C79D5" w:rsidRPr="00935B4E" w:rsidRDefault="008C79D5" w:rsidP="00935B4E">
      <w:pPr>
        <w:spacing w:after="240" w:line="360" w:lineRule="auto"/>
        <w:rPr>
          <w:szCs w:val="24"/>
        </w:rPr>
      </w:pPr>
    </w:p>
    <w:sectPr w:rsidR="008C79D5" w:rsidRPr="00935B4E" w:rsidSect="006B4033">
      <w:headerReference w:type="default" r:id="rId15"/>
      <w:footerReference w:type="default" r:id="rId16"/>
      <w:pgSz w:w="11910" w:h="16840"/>
      <w:pgMar w:top="1440" w:right="1440" w:bottom="1440" w:left="1440" w:header="0" w:footer="753"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Marie Williams" w:date="2025-07-11T18:16:00Z" w:initials="MW">
    <w:p w14:paraId="15A6FFF1" w14:textId="77777777" w:rsidR="00397654" w:rsidRDefault="00397654" w:rsidP="00397654">
      <w:pPr>
        <w:pStyle w:val="CommentText"/>
      </w:pPr>
      <w:r>
        <w:rPr>
          <w:rStyle w:val="CommentReference"/>
        </w:rPr>
        <w:annotationRef/>
      </w:r>
      <w:r>
        <w:t>This is 1996 according to legislation.gov.uk</w:t>
      </w:r>
    </w:p>
  </w:comment>
  <w:comment w:id="41" w:author="Olubukola Adeleye" w:date="2025-07-12T11:15:00Z" w:initials="OA">
    <w:p w14:paraId="4ED62BF3" w14:textId="77777777" w:rsidR="00EF00CC" w:rsidRDefault="00EF00CC" w:rsidP="00EF00CC">
      <w:pPr>
        <w:pStyle w:val="CommentText"/>
      </w:pPr>
      <w:r>
        <w:rPr>
          <w:rStyle w:val="CommentReference"/>
        </w:rPr>
        <w:annotationRef/>
      </w:r>
      <w:r>
        <w:t>updated</w:t>
      </w:r>
    </w:p>
  </w:comment>
  <w:comment w:id="42" w:author="Marie Williams" w:date="2025-07-11T18:17:00Z" w:initials="MW">
    <w:p w14:paraId="2115AF4F" w14:textId="381B8DC5" w:rsidR="0092029D" w:rsidRDefault="0092029D" w:rsidP="0092029D">
      <w:pPr>
        <w:pStyle w:val="CommentText"/>
      </w:pPr>
      <w:r>
        <w:rPr>
          <w:rStyle w:val="CommentReference"/>
        </w:rPr>
        <w:annotationRef/>
      </w:r>
      <w:r>
        <w:t>Should this be “The Secure Tenants of Local Housing Authorities (Right to Repair) Regulations 1994”?</w:t>
      </w:r>
    </w:p>
  </w:comment>
  <w:comment w:id="43" w:author="Olubukola Adeleye" w:date="2025-07-12T11:19:00Z" w:initials="OA">
    <w:p w14:paraId="67B94B24" w14:textId="77777777" w:rsidR="00ED534D" w:rsidRDefault="00ED534D" w:rsidP="00ED534D">
      <w:pPr>
        <w:pStyle w:val="CommentText"/>
      </w:pPr>
      <w:r>
        <w:rPr>
          <w:rStyle w:val="CommentReference"/>
        </w:rPr>
        <w:annotationRef/>
      </w:r>
      <w:r>
        <w:t xml:space="preserve">It's a number of regulations and laws as listed - but might be best to leave summarised as it is;  </w:t>
      </w:r>
      <w:r>
        <w:rPr>
          <w:color w:val="333333"/>
          <w:highlight w:val="white"/>
        </w:rPr>
        <w:t>s.96 Housing Act 1985, s.135 Housing Act 1996 and Secure Tenants of Local Housing Authorities (Right to Repair) Regulations SI 1994/133, as amended by Secure Tenants of Local Housing Authorities (Right to Repair) (Amendment) Regulations SI 1994/844 and Secure Tenants of Local Housing Authorities (Right to Repair) (Amendment) Regulations SI 1997/73.</w:t>
      </w:r>
      <w:r>
        <w:rPr>
          <w:b/>
          <w:bCs/>
        </w:rPr>
        <w:t xml:space="preserve">  and also </w:t>
      </w:r>
      <w:r>
        <w:rPr>
          <w:color w:val="333333"/>
          <w:highlight w:val="white"/>
        </w:rPr>
        <w:t>ss.99A and 99B Housing Act 1985 and Secure Tenants of Local Authorities (Compensation for Improvements) Regulations SI 1994/61</w:t>
      </w:r>
      <w:r>
        <w:rPr>
          <w:b/>
          <w:b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A6FFF1" w15:done="0"/>
  <w15:commentEx w15:paraId="4ED62BF3" w15:paraIdParent="15A6FFF1" w15:done="0"/>
  <w15:commentEx w15:paraId="2115AF4F" w15:done="0"/>
  <w15:commentEx w15:paraId="67B94B24" w15:paraIdParent="2115A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30885F" w16cex:dateUtc="2025-07-11T17:16:00Z"/>
  <w16cex:commentExtensible w16cex:durableId="4629A73A" w16cex:dateUtc="2025-07-12T10:15:00Z"/>
  <w16cex:commentExtensible w16cex:durableId="32A9E58E" w16cex:dateUtc="2025-07-11T17:17:00Z"/>
  <w16cex:commentExtensible w16cex:durableId="34EDDD22" w16cex:dateUtc="2025-07-1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A6FFF1" w16cid:durableId="1230885F"/>
  <w16cid:commentId w16cid:paraId="4ED62BF3" w16cid:durableId="4629A73A"/>
  <w16cid:commentId w16cid:paraId="2115AF4F" w16cid:durableId="32A9E58E"/>
  <w16cid:commentId w16cid:paraId="67B94B24" w16cid:durableId="34EDD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3CFB8" w14:textId="77777777" w:rsidR="004D51C5" w:rsidRDefault="004D51C5">
      <w:r>
        <w:separator/>
      </w:r>
    </w:p>
  </w:endnote>
  <w:endnote w:type="continuationSeparator" w:id="0">
    <w:p w14:paraId="096DAE3C" w14:textId="77777777" w:rsidR="004D51C5" w:rsidRDefault="004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544200"/>
      <w:docPartObj>
        <w:docPartGallery w:val="Page Numbers (Bottom of Page)"/>
        <w:docPartUnique/>
      </w:docPartObj>
    </w:sdtPr>
    <w:sdtContent>
      <w:p w14:paraId="164C7DE5" w14:textId="2ED3CCCC" w:rsidR="005A099A" w:rsidRPr="00E3487F" w:rsidRDefault="00E3487F" w:rsidP="00E3487F">
        <w:pPr>
          <w:pStyle w:val="Footer"/>
          <w:jc w:val="right"/>
        </w:pPr>
        <w:r w:rsidRPr="00E3487F">
          <w:t xml:space="preserve">Page | </w:t>
        </w:r>
        <w:r w:rsidRPr="00E3487F">
          <w:fldChar w:fldCharType="begin"/>
        </w:r>
        <w:r w:rsidRPr="00E3487F">
          <w:instrText xml:space="preserve"> PAGE   \* MERGEFORMAT </w:instrText>
        </w:r>
        <w:r w:rsidRPr="00E3487F">
          <w:fldChar w:fldCharType="separate"/>
        </w:r>
        <w:r w:rsidRPr="00E3487F">
          <w:rPr>
            <w:noProof/>
          </w:rPr>
          <w:t>2</w:t>
        </w:r>
        <w:r w:rsidRPr="00E3487F">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1AECA" w14:textId="77777777" w:rsidR="004D51C5" w:rsidRDefault="004D51C5">
      <w:r>
        <w:separator/>
      </w:r>
    </w:p>
  </w:footnote>
  <w:footnote w:type="continuationSeparator" w:id="0">
    <w:p w14:paraId="70DAE64D" w14:textId="77777777" w:rsidR="004D51C5" w:rsidRDefault="004D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EB4B" w14:textId="77777777" w:rsidR="00E3487F" w:rsidRDefault="00E3487F" w:rsidP="0079487C">
    <w:pPr>
      <w:pStyle w:val="Header"/>
      <w:ind w:right="349"/>
      <w:rPr>
        <w:noProof/>
      </w:rPr>
    </w:pPr>
  </w:p>
  <w:p w14:paraId="134C8787" w14:textId="77777777" w:rsidR="00F70A3C" w:rsidRDefault="00F70A3C" w:rsidP="0079487C">
    <w:pPr>
      <w:pStyle w:val="Header"/>
      <w:ind w:right="349"/>
      <w:rPr>
        <w:noProof/>
      </w:rPr>
    </w:pPr>
  </w:p>
  <w:p w14:paraId="3951F123" w14:textId="77777777" w:rsidR="00E3487F" w:rsidRPr="00556E3C" w:rsidRDefault="00E3487F" w:rsidP="00E3487F">
    <w:pPr>
      <w:pStyle w:val="Header"/>
      <w:rPr>
        <w:color w:val="23A490"/>
        <w:sz w:val="28"/>
      </w:rPr>
    </w:pPr>
    <w:r w:rsidRPr="00556E3C">
      <w:rPr>
        <w:b/>
        <w:noProof/>
        <w:color w:val="23A490"/>
        <w:lang w:eastAsia="en-GB" w:bidi="x-none"/>
      </w:rPr>
      <mc:AlternateContent>
        <mc:Choice Requires="wps">
          <w:drawing>
            <wp:anchor distT="0" distB="0" distL="114300" distR="114300" simplePos="0" relativeHeight="251658240" behindDoc="0" locked="0" layoutInCell="1" allowOverlap="1" wp14:anchorId="6CBC5818" wp14:editId="108C890F">
              <wp:simplePos x="0" y="0"/>
              <wp:positionH relativeFrom="column">
                <wp:posOffset>4136390</wp:posOffset>
              </wp:positionH>
              <wp:positionV relativeFrom="paragraph">
                <wp:posOffset>-166671</wp:posOffset>
              </wp:positionV>
              <wp:extent cx="1711960" cy="1094105"/>
              <wp:effectExtent l="0" t="0" r="0" b="0"/>
              <wp:wrapNone/>
              <wp:docPr id="504018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D6CC2" w14:textId="77777777" w:rsidR="00E3487F" w:rsidRDefault="00E3487F" w:rsidP="00E3487F">
                          <w:r>
                            <w:rPr>
                              <w:noProof/>
                            </w:rPr>
                            <w:drawing>
                              <wp:inline distT="0" distB="0" distL="0" distR="0" wp14:anchorId="6DF23640" wp14:editId="0018250C">
                                <wp:extent cx="1196067" cy="648201"/>
                                <wp:effectExtent l="0" t="0" r="4445" b="0"/>
                                <wp:docPr id="15553495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49512"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200870" cy="65080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5818" id="_x0000_t202" coordsize="21600,21600" o:spt="202" path="m,l,21600r21600,l21600,xe">
              <v:stroke joinstyle="miter"/>
              <v:path gradientshapeok="t" o:connecttype="rect"/>
            </v:shapetype>
            <v:shape id="Text Box 12" o:spid="_x0000_s1026" type="#_x0000_t202" style="position:absolute;margin-left:325.7pt;margin-top:-13.1pt;width:134.8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" filled="f" stroked="f">
              <v:textbox>
                <w:txbxContent>
                  <w:p w14:paraId="516D6CC2" w14:textId="77777777" w:rsidR="00E3487F" w:rsidRDefault="00E3487F" w:rsidP="00E3487F">
                    <w:r>
                      <w:rPr>
                        <w:noProof/>
                      </w:rPr>
                      <w:drawing>
                        <wp:inline distT="0" distB="0" distL="0" distR="0" wp14:anchorId="6DF23640" wp14:editId="0018250C">
                          <wp:extent cx="1196067" cy="648201"/>
                          <wp:effectExtent l="0" t="0" r="4445" b="0"/>
                          <wp:docPr id="15553495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49512" name="Picture 4">
                                    <a:extLst>
                                      <a:ext uri="{C183D7F6-B498-43B3-948B-1728B52AA6E4}">
                                        <adec:decorative xmlns:adec="http://schemas.microsoft.com/office/drawing/2017/decorative" val="1"/>
                                      </a:ext>
                                    </a:extLst>
                                  </pic:cNvPr>
                                  <pic:cNvPicPr/>
                                </pic:nvPicPr>
                                <pic:blipFill>
                                  <a:blip r:embed="rId2"/>
                                  <a:stretch>
                                    <a:fillRect/>
                                  </a:stretch>
                                </pic:blipFill>
                                <pic:spPr>
                                  <a:xfrm>
                                    <a:off x="0" y="0"/>
                                    <a:ext cx="1200870" cy="650804"/>
                                  </a:xfrm>
                                  <a:prstGeom prst="rect">
                                    <a:avLst/>
                                  </a:prstGeom>
                                </pic:spPr>
                              </pic:pic>
                            </a:graphicData>
                          </a:graphic>
                        </wp:inline>
                      </w:drawing>
                    </w:r>
                  </w:p>
                </w:txbxContent>
              </v:textbox>
            </v:shape>
          </w:pict>
        </mc:Fallback>
      </mc:AlternateContent>
    </w:r>
    <w:r w:rsidRPr="00556E3C">
      <w:rPr>
        <w:b/>
        <w:color w:val="23A490"/>
      </w:rPr>
      <w:t>HOUSING AND ENVIRONMENT</w:t>
    </w:r>
  </w:p>
  <w:p w14:paraId="179C92E7" w14:textId="77777777" w:rsidR="00E3487F" w:rsidRDefault="00E3487F" w:rsidP="00E3487F">
    <w:pPr>
      <w:pStyle w:val="Header"/>
    </w:pPr>
  </w:p>
  <w:p w14:paraId="14D52EB4" w14:textId="77777777" w:rsidR="00E3487F" w:rsidRDefault="00E3487F" w:rsidP="0079487C">
    <w:pPr>
      <w:pStyle w:val="Header"/>
      <w:ind w:right="34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8F7"/>
    <w:multiLevelType w:val="hybridMultilevel"/>
    <w:tmpl w:val="1D780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E36349"/>
    <w:multiLevelType w:val="multilevel"/>
    <w:tmpl w:val="B2A8752E"/>
    <w:lvl w:ilvl="0">
      <w:start w:val="8"/>
      <w:numFmt w:val="decimal"/>
      <w:lvlText w:val="%1"/>
      <w:lvlJc w:val="left"/>
      <w:pPr>
        <w:ind w:left="140" w:hanging="370"/>
      </w:pPr>
      <w:rPr>
        <w:rFonts w:hint="default"/>
        <w:lang w:val="en-US" w:eastAsia="en-US" w:bidi="ar-SA"/>
      </w:rPr>
    </w:lvl>
    <w:lvl w:ilvl="1">
      <w:start w:val="1"/>
      <w:numFmt w:val="decimal"/>
      <w:lvlText w:val="%1.%2"/>
      <w:lvlJc w:val="left"/>
      <w:pPr>
        <w:ind w:left="140" w:hanging="370"/>
      </w:pPr>
      <w:rPr>
        <w:rFonts w:ascii="Arial" w:eastAsia="Arial" w:hAnsi="Arial" w:cs="Arial" w:hint="default"/>
        <w:b w:val="0"/>
        <w:bCs w:val="0"/>
        <w:i w:val="0"/>
        <w:iCs w:val="0"/>
        <w:spacing w:val="-1"/>
        <w:w w:val="100"/>
        <w:sz w:val="24"/>
        <w:szCs w:val="24"/>
        <w:lang w:val="en-US" w:eastAsia="en-US" w:bidi="ar-SA"/>
      </w:rPr>
    </w:lvl>
    <w:lvl w:ilvl="2">
      <w:numFmt w:val="bullet"/>
      <w:pStyle w:val="ListParagraph"/>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919" w:hanging="360"/>
      </w:pPr>
      <w:rPr>
        <w:rFonts w:hint="default"/>
        <w:lang w:val="en-US" w:eastAsia="en-US" w:bidi="ar-SA"/>
      </w:rPr>
    </w:lvl>
    <w:lvl w:ilvl="4">
      <w:numFmt w:val="bullet"/>
      <w:lvlText w:val="•"/>
      <w:lvlJc w:val="left"/>
      <w:pPr>
        <w:ind w:left="3948" w:hanging="360"/>
      </w:pPr>
      <w:rPr>
        <w:rFonts w:hint="default"/>
        <w:lang w:val="en-US" w:eastAsia="en-US" w:bidi="ar-SA"/>
      </w:rPr>
    </w:lvl>
    <w:lvl w:ilvl="5">
      <w:numFmt w:val="bullet"/>
      <w:lvlText w:val="•"/>
      <w:lvlJc w:val="left"/>
      <w:pPr>
        <w:ind w:left="4978" w:hanging="360"/>
      </w:pPr>
      <w:rPr>
        <w:rFonts w:hint="default"/>
        <w:lang w:val="en-US" w:eastAsia="en-US" w:bidi="ar-SA"/>
      </w:rPr>
    </w:lvl>
    <w:lvl w:ilvl="6">
      <w:numFmt w:val="bullet"/>
      <w:lvlText w:val="•"/>
      <w:lvlJc w:val="left"/>
      <w:pPr>
        <w:ind w:left="6008" w:hanging="360"/>
      </w:pPr>
      <w:rPr>
        <w:rFonts w:hint="default"/>
        <w:lang w:val="en-US" w:eastAsia="en-US" w:bidi="ar-SA"/>
      </w:rPr>
    </w:lvl>
    <w:lvl w:ilvl="7">
      <w:numFmt w:val="bullet"/>
      <w:lvlText w:val="•"/>
      <w:lvlJc w:val="left"/>
      <w:pPr>
        <w:ind w:left="7037" w:hanging="360"/>
      </w:pPr>
      <w:rPr>
        <w:rFonts w:hint="default"/>
        <w:lang w:val="en-US" w:eastAsia="en-US" w:bidi="ar-SA"/>
      </w:rPr>
    </w:lvl>
    <w:lvl w:ilvl="8">
      <w:numFmt w:val="bullet"/>
      <w:lvlText w:val="•"/>
      <w:lvlJc w:val="left"/>
      <w:pPr>
        <w:ind w:left="8067" w:hanging="360"/>
      </w:pPr>
      <w:rPr>
        <w:rFonts w:hint="default"/>
        <w:lang w:val="en-US" w:eastAsia="en-US" w:bidi="ar-SA"/>
      </w:rPr>
    </w:lvl>
  </w:abstractNum>
  <w:abstractNum w:abstractNumId="2" w15:restartNumberingAfterBreak="0">
    <w:nsid w:val="34AD0DE3"/>
    <w:multiLevelType w:val="hybridMultilevel"/>
    <w:tmpl w:val="01E61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6B2648"/>
    <w:multiLevelType w:val="hybridMultilevel"/>
    <w:tmpl w:val="B882E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B43B49"/>
    <w:multiLevelType w:val="hybridMultilevel"/>
    <w:tmpl w:val="A7E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0231A"/>
    <w:multiLevelType w:val="hybridMultilevel"/>
    <w:tmpl w:val="84344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64585368">
    <w:abstractNumId w:val="1"/>
  </w:num>
  <w:num w:numId="2" w16cid:durableId="881092347">
    <w:abstractNumId w:val="4"/>
  </w:num>
  <w:num w:numId="3" w16cid:durableId="449978885">
    <w:abstractNumId w:val="3"/>
  </w:num>
  <w:num w:numId="4" w16cid:durableId="1729692901">
    <w:abstractNumId w:val="0"/>
  </w:num>
  <w:num w:numId="5" w16cid:durableId="1778911625">
    <w:abstractNumId w:val="5"/>
  </w:num>
  <w:num w:numId="6" w16cid:durableId="1677800929">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e Williams">
    <w15:presenceInfo w15:providerId="AD" w15:userId="S::mwilliams001@ealing.gov.uk::0dd05750-ae1f-4068-af12-c15ad8873d07"/>
  </w15:person>
  <w15:person w15:author="Olubukola Adeleye">
    <w15:presenceInfo w15:providerId="AD" w15:userId="S::oadeleye001@ealing.gov.uk::2845b99a-420e-41be-9f1c-b59bacb70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9A"/>
    <w:rsid w:val="0002072F"/>
    <w:rsid w:val="00023CA6"/>
    <w:rsid w:val="00036EE3"/>
    <w:rsid w:val="0005646B"/>
    <w:rsid w:val="00072802"/>
    <w:rsid w:val="00074B01"/>
    <w:rsid w:val="0008035D"/>
    <w:rsid w:val="00081E7A"/>
    <w:rsid w:val="00085D9A"/>
    <w:rsid w:val="000870A0"/>
    <w:rsid w:val="000A3EAD"/>
    <w:rsid w:val="000A63CE"/>
    <w:rsid w:val="000C0AF3"/>
    <w:rsid w:val="000C5389"/>
    <w:rsid w:val="000E2244"/>
    <w:rsid w:val="000E63A5"/>
    <w:rsid w:val="000F5896"/>
    <w:rsid w:val="001325CD"/>
    <w:rsid w:val="00162A0A"/>
    <w:rsid w:val="001822B1"/>
    <w:rsid w:val="001C76DC"/>
    <w:rsid w:val="001F1913"/>
    <w:rsid w:val="001F33F2"/>
    <w:rsid w:val="002032F8"/>
    <w:rsid w:val="00204C04"/>
    <w:rsid w:val="00204D7C"/>
    <w:rsid w:val="00204F64"/>
    <w:rsid w:val="00233EF1"/>
    <w:rsid w:val="002424B7"/>
    <w:rsid w:val="00247167"/>
    <w:rsid w:val="00251730"/>
    <w:rsid w:val="00252F35"/>
    <w:rsid w:val="0026776C"/>
    <w:rsid w:val="00267F0F"/>
    <w:rsid w:val="002745E4"/>
    <w:rsid w:val="0027699B"/>
    <w:rsid w:val="00284719"/>
    <w:rsid w:val="0028512E"/>
    <w:rsid w:val="002B3F09"/>
    <w:rsid w:val="002C16F9"/>
    <w:rsid w:val="002D0CDC"/>
    <w:rsid w:val="002D4B86"/>
    <w:rsid w:val="002E1E51"/>
    <w:rsid w:val="002E2CB3"/>
    <w:rsid w:val="002E4664"/>
    <w:rsid w:val="002F6A01"/>
    <w:rsid w:val="002F7FFA"/>
    <w:rsid w:val="003053DE"/>
    <w:rsid w:val="0031682C"/>
    <w:rsid w:val="00316EC4"/>
    <w:rsid w:val="003306C0"/>
    <w:rsid w:val="00335442"/>
    <w:rsid w:val="00385A42"/>
    <w:rsid w:val="0038744E"/>
    <w:rsid w:val="00397654"/>
    <w:rsid w:val="003A0364"/>
    <w:rsid w:val="003A5EE6"/>
    <w:rsid w:val="003C0D49"/>
    <w:rsid w:val="003F29B7"/>
    <w:rsid w:val="003F3AEB"/>
    <w:rsid w:val="003F6528"/>
    <w:rsid w:val="00405DFD"/>
    <w:rsid w:val="004102FD"/>
    <w:rsid w:val="0041170A"/>
    <w:rsid w:val="00461D57"/>
    <w:rsid w:val="004665EC"/>
    <w:rsid w:val="00473D87"/>
    <w:rsid w:val="0049719C"/>
    <w:rsid w:val="004A0823"/>
    <w:rsid w:val="004C01FF"/>
    <w:rsid w:val="004C18AA"/>
    <w:rsid w:val="004C30F8"/>
    <w:rsid w:val="004D21E2"/>
    <w:rsid w:val="004D51C5"/>
    <w:rsid w:val="004F0E9D"/>
    <w:rsid w:val="004F161D"/>
    <w:rsid w:val="00502705"/>
    <w:rsid w:val="0051121A"/>
    <w:rsid w:val="00521F2A"/>
    <w:rsid w:val="00533105"/>
    <w:rsid w:val="00535569"/>
    <w:rsid w:val="005734A4"/>
    <w:rsid w:val="00574BDE"/>
    <w:rsid w:val="005A099A"/>
    <w:rsid w:val="005A48D5"/>
    <w:rsid w:val="005B7EA7"/>
    <w:rsid w:val="005C4742"/>
    <w:rsid w:val="005E674A"/>
    <w:rsid w:val="005F040B"/>
    <w:rsid w:val="00622B67"/>
    <w:rsid w:val="00626468"/>
    <w:rsid w:val="006536EC"/>
    <w:rsid w:val="006554E2"/>
    <w:rsid w:val="00655928"/>
    <w:rsid w:val="006B4033"/>
    <w:rsid w:val="006C2BBE"/>
    <w:rsid w:val="006E16E0"/>
    <w:rsid w:val="006E7BFB"/>
    <w:rsid w:val="00707837"/>
    <w:rsid w:val="00710165"/>
    <w:rsid w:val="0073309C"/>
    <w:rsid w:val="00744C01"/>
    <w:rsid w:val="007539D9"/>
    <w:rsid w:val="00755FC3"/>
    <w:rsid w:val="0075723F"/>
    <w:rsid w:val="00763574"/>
    <w:rsid w:val="0079487C"/>
    <w:rsid w:val="007D0F76"/>
    <w:rsid w:val="007D28EB"/>
    <w:rsid w:val="007D7781"/>
    <w:rsid w:val="007E1C93"/>
    <w:rsid w:val="007E7003"/>
    <w:rsid w:val="00837AD0"/>
    <w:rsid w:val="00842EC5"/>
    <w:rsid w:val="008661AC"/>
    <w:rsid w:val="008721F4"/>
    <w:rsid w:val="00876C40"/>
    <w:rsid w:val="008A15B6"/>
    <w:rsid w:val="008A3D6E"/>
    <w:rsid w:val="008B1853"/>
    <w:rsid w:val="008B3F79"/>
    <w:rsid w:val="008B66FD"/>
    <w:rsid w:val="008C5C9C"/>
    <w:rsid w:val="008C79D5"/>
    <w:rsid w:val="008D243E"/>
    <w:rsid w:val="008E1EB8"/>
    <w:rsid w:val="008E4DAD"/>
    <w:rsid w:val="008F130E"/>
    <w:rsid w:val="008F3896"/>
    <w:rsid w:val="008F4E69"/>
    <w:rsid w:val="009045B5"/>
    <w:rsid w:val="009130EE"/>
    <w:rsid w:val="00913EAD"/>
    <w:rsid w:val="0092029D"/>
    <w:rsid w:val="00922818"/>
    <w:rsid w:val="00935B4E"/>
    <w:rsid w:val="0095366D"/>
    <w:rsid w:val="00964A27"/>
    <w:rsid w:val="00970F1D"/>
    <w:rsid w:val="0098060F"/>
    <w:rsid w:val="00981C09"/>
    <w:rsid w:val="00992FDD"/>
    <w:rsid w:val="009C66E0"/>
    <w:rsid w:val="009D3D8B"/>
    <w:rsid w:val="009E3C89"/>
    <w:rsid w:val="009E78FE"/>
    <w:rsid w:val="009F531E"/>
    <w:rsid w:val="00A02C51"/>
    <w:rsid w:val="00A03648"/>
    <w:rsid w:val="00A46631"/>
    <w:rsid w:val="00A678C3"/>
    <w:rsid w:val="00A83136"/>
    <w:rsid w:val="00AA61C7"/>
    <w:rsid w:val="00AB079C"/>
    <w:rsid w:val="00AD33F6"/>
    <w:rsid w:val="00AD40DF"/>
    <w:rsid w:val="00B113C6"/>
    <w:rsid w:val="00B1151C"/>
    <w:rsid w:val="00B12822"/>
    <w:rsid w:val="00B16F19"/>
    <w:rsid w:val="00B206E4"/>
    <w:rsid w:val="00B339BE"/>
    <w:rsid w:val="00B34266"/>
    <w:rsid w:val="00B35356"/>
    <w:rsid w:val="00B6579D"/>
    <w:rsid w:val="00B73F6E"/>
    <w:rsid w:val="00B759F1"/>
    <w:rsid w:val="00B90226"/>
    <w:rsid w:val="00B933F5"/>
    <w:rsid w:val="00B94396"/>
    <w:rsid w:val="00B968B7"/>
    <w:rsid w:val="00BB0FA0"/>
    <w:rsid w:val="00BB165C"/>
    <w:rsid w:val="00BB70A1"/>
    <w:rsid w:val="00BD1077"/>
    <w:rsid w:val="00BD18CB"/>
    <w:rsid w:val="00BF03E8"/>
    <w:rsid w:val="00BF34C6"/>
    <w:rsid w:val="00BF60A5"/>
    <w:rsid w:val="00C0783C"/>
    <w:rsid w:val="00C2562C"/>
    <w:rsid w:val="00C33627"/>
    <w:rsid w:val="00C44A67"/>
    <w:rsid w:val="00C47832"/>
    <w:rsid w:val="00C81C65"/>
    <w:rsid w:val="00C81F6B"/>
    <w:rsid w:val="00C90CB1"/>
    <w:rsid w:val="00C95114"/>
    <w:rsid w:val="00C956B4"/>
    <w:rsid w:val="00CB7CC1"/>
    <w:rsid w:val="00CC3A06"/>
    <w:rsid w:val="00CD09D7"/>
    <w:rsid w:val="00CD34AC"/>
    <w:rsid w:val="00CD389C"/>
    <w:rsid w:val="00CF1217"/>
    <w:rsid w:val="00D06377"/>
    <w:rsid w:val="00D12D47"/>
    <w:rsid w:val="00D27B28"/>
    <w:rsid w:val="00D30AF7"/>
    <w:rsid w:val="00D364C1"/>
    <w:rsid w:val="00D4578E"/>
    <w:rsid w:val="00D5400B"/>
    <w:rsid w:val="00D64353"/>
    <w:rsid w:val="00D76026"/>
    <w:rsid w:val="00D76B9B"/>
    <w:rsid w:val="00D8353C"/>
    <w:rsid w:val="00D836E3"/>
    <w:rsid w:val="00D96A3B"/>
    <w:rsid w:val="00DA3A86"/>
    <w:rsid w:val="00DA41F7"/>
    <w:rsid w:val="00DB119A"/>
    <w:rsid w:val="00DC70A3"/>
    <w:rsid w:val="00E006D4"/>
    <w:rsid w:val="00E22780"/>
    <w:rsid w:val="00E256EB"/>
    <w:rsid w:val="00E3487F"/>
    <w:rsid w:val="00E35D1B"/>
    <w:rsid w:val="00E36B83"/>
    <w:rsid w:val="00E558B0"/>
    <w:rsid w:val="00E6237A"/>
    <w:rsid w:val="00E72618"/>
    <w:rsid w:val="00E771A0"/>
    <w:rsid w:val="00E82563"/>
    <w:rsid w:val="00EB70E5"/>
    <w:rsid w:val="00ED4CEC"/>
    <w:rsid w:val="00ED534D"/>
    <w:rsid w:val="00EF00CC"/>
    <w:rsid w:val="00F12A0D"/>
    <w:rsid w:val="00F178DA"/>
    <w:rsid w:val="00F23714"/>
    <w:rsid w:val="00F70A3C"/>
    <w:rsid w:val="00F736A8"/>
    <w:rsid w:val="00F97863"/>
    <w:rsid w:val="00FC06D4"/>
    <w:rsid w:val="00FD253D"/>
    <w:rsid w:val="00FE0BDD"/>
    <w:rsid w:val="00FE0CB2"/>
    <w:rsid w:val="00FE1663"/>
    <w:rsid w:val="00FE7513"/>
    <w:rsid w:val="00FF6C3A"/>
    <w:rsid w:val="2645DBAD"/>
    <w:rsid w:val="2E5017A7"/>
    <w:rsid w:val="4802694A"/>
    <w:rsid w:val="501D19D9"/>
    <w:rsid w:val="75426E82"/>
    <w:rsid w:val="763531B0"/>
    <w:rsid w:val="78E8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20837"/>
  <w15:docId w15:val="{170AEA38-F29D-4813-948F-58984A1D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0A"/>
    <w:pPr>
      <w:spacing w:before="120" w:after="120"/>
    </w:pPr>
    <w:rPr>
      <w:rFonts w:ascii="Verdana" w:eastAsia="Arial" w:hAnsi="Verdana" w:cs="Arial"/>
      <w:sz w:val="24"/>
    </w:rPr>
  </w:style>
  <w:style w:type="paragraph" w:styleId="Heading1">
    <w:name w:val="heading 1"/>
    <w:basedOn w:val="Title"/>
    <w:link w:val="Heading1Char"/>
    <w:uiPriority w:val="9"/>
    <w:qFormat/>
    <w:rsid w:val="00E3487F"/>
    <w:pPr>
      <w:spacing w:before="0" w:after="360"/>
      <w:ind w:left="227"/>
      <w:outlineLvl w:val="0"/>
    </w:pPr>
    <w:rPr>
      <w:sz w:val="40"/>
    </w:rPr>
  </w:style>
  <w:style w:type="paragraph" w:styleId="Heading2">
    <w:name w:val="heading 2"/>
    <w:basedOn w:val="Normal"/>
    <w:uiPriority w:val="9"/>
    <w:unhideWhenUsed/>
    <w:qFormat/>
    <w:rsid w:val="00E3487F"/>
    <w:pPr>
      <w:spacing w:before="360" w:after="360"/>
      <w:ind w:right="493"/>
      <w:outlineLvl w:val="1"/>
    </w:pPr>
    <w:rPr>
      <w:b/>
      <w:bCs/>
      <w:sz w:val="32"/>
      <w:szCs w:val="32"/>
    </w:rPr>
  </w:style>
  <w:style w:type="paragraph" w:styleId="Heading3">
    <w:name w:val="heading 3"/>
    <w:basedOn w:val="Normal"/>
    <w:next w:val="Normal"/>
    <w:link w:val="Heading3Char"/>
    <w:uiPriority w:val="9"/>
    <w:semiHidden/>
    <w:unhideWhenUsed/>
    <w:qFormat/>
    <w:rsid w:val="00B1151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4"/>
      <w:ind w:left="689" w:hanging="330"/>
    </w:pPr>
    <w:rPr>
      <w:sz w:val="20"/>
      <w:szCs w:val="20"/>
    </w:rPr>
  </w:style>
  <w:style w:type="paragraph" w:styleId="TOC2">
    <w:name w:val="toc 2"/>
    <w:basedOn w:val="Normal"/>
    <w:uiPriority w:val="39"/>
    <w:qFormat/>
    <w:pPr>
      <w:spacing w:before="214"/>
      <w:ind w:left="1074" w:hanging="495"/>
    </w:pPr>
    <w:rPr>
      <w:sz w:val="20"/>
      <w:szCs w:val="20"/>
    </w:rPr>
  </w:style>
  <w:style w:type="paragraph" w:styleId="BodyText">
    <w:name w:val="Body Text"/>
    <w:basedOn w:val="Normal"/>
    <w:uiPriority w:val="1"/>
    <w:qFormat/>
    <w:pPr>
      <w:ind w:left="140"/>
    </w:pPr>
  </w:style>
  <w:style w:type="paragraph" w:styleId="Title">
    <w:name w:val="Title"/>
    <w:basedOn w:val="Normal"/>
    <w:link w:val="TitleChar"/>
    <w:uiPriority w:val="10"/>
    <w:qFormat/>
    <w:pPr>
      <w:spacing w:before="64"/>
      <w:ind w:left="229"/>
    </w:pPr>
    <w:rPr>
      <w:b/>
      <w:bCs/>
      <w:sz w:val="32"/>
      <w:szCs w:val="32"/>
    </w:rPr>
  </w:style>
  <w:style w:type="paragraph" w:styleId="ListParagraph">
    <w:name w:val="List Paragraph"/>
    <w:basedOn w:val="Normal"/>
    <w:uiPriority w:val="34"/>
    <w:qFormat/>
    <w:rsid w:val="002B3F09"/>
    <w:pPr>
      <w:numPr>
        <w:ilvl w:val="2"/>
        <w:numId w:val="1"/>
      </w:numPr>
      <w:spacing w:before="124" w:after="240" w:line="360" w:lineRule="auto"/>
      <w:ind w:left="567" w:right="493" w:hanging="567"/>
      <w:contextualSpacing/>
    </w:pPr>
  </w:style>
  <w:style w:type="paragraph" w:customStyle="1" w:styleId="TableParagraph">
    <w:name w:val="Table Paragraph"/>
    <w:basedOn w:val="Normal"/>
    <w:uiPriority w:val="1"/>
    <w:qFormat/>
    <w:pPr>
      <w:ind w:left="107"/>
    </w:pPr>
  </w:style>
  <w:style w:type="paragraph" w:customStyle="1" w:styleId="top">
    <w:name w:val="top"/>
    <w:basedOn w:val="Heading1"/>
    <w:link w:val="topChar"/>
    <w:qFormat/>
    <w:rsid w:val="0079487C"/>
    <w:pPr>
      <w:spacing w:after="120"/>
      <w:ind w:left="3544" w:hanging="3260"/>
    </w:pPr>
    <w:rPr>
      <w:b w:val="0"/>
      <w:bCs w:val="0"/>
      <w:sz w:val="24"/>
      <w:szCs w:val="24"/>
    </w:rPr>
  </w:style>
  <w:style w:type="paragraph" w:styleId="Header">
    <w:name w:val="header"/>
    <w:basedOn w:val="Normal"/>
    <w:link w:val="HeaderChar"/>
    <w:unhideWhenUsed/>
    <w:rsid w:val="0079487C"/>
    <w:pPr>
      <w:tabs>
        <w:tab w:val="center" w:pos="4513"/>
        <w:tab w:val="right" w:pos="9026"/>
      </w:tabs>
    </w:pPr>
  </w:style>
  <w:style w:type="character" w:customStyle="1" w:styleId="TitleChar">
    <w:name w:val="Title Char"/>
    <w:basedOn w:val="DefaultParagraphFont"/>
    <w:link w:val="Title"/>
    <w:uiPriority w:val="10"/>
    <w:rsid w:val="0079487C"/>
    <w:rPr>
      <w:rFonts w:ascii="Arial" w:eastAsia="Arial" w:hAnsi="Arial" w:cs="Arial"/>
      <w:b/>
      <w:bCs/>
      <w:sz w:val="32"/>
      <w:szCs w:val="32"/>
    </w:rPr>
  </w:style>
  <w:style w:type="character" w:customStyle="1" w:styleId="Heading1Char">
    <w:name w:val="Heading 1 Char"/>
    <w:basedOn w:val="TitleChar"/>
    <w:link w:val="Heading1"/>
    <w:uiPriority w:val="9"/>
    <w:rsid w:val="00E3487F"/>
    <w:rPr>
      <w:rFonts w:ascii="Arial" w:eastAsia="Arial" w:hAnsi="Arial" w:cs="Arial"/>
      <w:b/>
      <w:bCs/>
      <w:sz w:val="40"/>
      <w:szCs w:val="32"/>
    </w:rPr>
  </w:style>
  <w:style w:type="character" w:customStyle="1" w:styleId="topChar">
    <w:name w:val="top Char"/>
    <w:basedOn w:val="Heading1Char"/>
    <w:link w:val="top"/>
    <w:rsid w:val="0079487C"/>
    <w:rPr>
      <w:rFonts w:ascii="Arial" w:eastAsia="Arial" w:hAnsi="Arial" w:cs="Arial"/>
      <w:b w:val="0"/>
      <w:bCs w:val="0"/>
      <w:sz w:val="24"/>
      <w:szCs w:val="24"/>
    </w:rPr>
  </w:style>
  <w:style w:type="character" w:customStyle="1" w:styleId="HeaderChar">
    <w:name w:val="Header Char"/>
    <w:basedOn w:val="DefaultParagraphFont"/>
    <w:link w:val="Header"/>
    <w:rsid w:val="0079487C"/>
    <w:rPr>
      <w:rFonts w:ascii="Arial" w:eastAsia="Arial" w:hAnsi="Arial" w:cs="Arial"/>
    </w:rPr>
  </w:style>
  <w:style w:type="paragraph" w:styleId="Footer">
    <w:name w:val="footer"/>
    <w:basedOn w:val="Normal"/>
    <w:link w:val="FooterChar"/>
    <w:uiPriority w:val="99"/>
    <w:unhideWhenUsed/>
    <w:rsid w:val="0079487C"/>
    <w:pPr>
      <w:tabs>
        <w:tab w:val="center" w:pos="4513"/>
        <w:tab w:val="right" w:pos="9026"/>
      </w:tabs>
    </w:pPr>
  </w:style>
  <w:style w:type="character" w:customStyle="1" w:styleId="FooterChar">
    <w:name w:val="Footer Char"/>
    <w:basedOn w:val="DefaultParagraphFont"/>
    <w:link w:val="Footer"/>
    <w:uiPriority w:val="99"/>
    <w:rsid w:val="0079487C"/>
    <w:rPr>
      <w:rFonts w:ascii="Arial" w:eastAsia="Arial" w:hAnsi="Arial" w:cs="Arial"/>
    </w:rPr>
  </w:style>
  <w:style w:type="character" w:styleId="SubtleReference">
    <w:name w:val="Subtle Reference"/>
    <w:uiPriority w:val="31"/>
    <w:qFormat/>
    <w:rsid w:val="00A46631"/>
    <w:rPr>
      <w:b/>
      <w:sz w:val="28"/>
    </w:rPr>
  </w:style>
  <w:style w:type="character" w:customStyle="1" w:styleId="Heading3Char">
    <w:name w:val="Heading 3 Char"/>
    <w:basedOn w:val="DefaultParagraphFont"/>
    <w:link w:val="Heading3"/>
    <w:uiPriority w:val="9"/>
    <w:semiHidden/>
    <w:rsid w:val="00B115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B1151C"/>
    <w:rPr>
      <w:color w:val="0000FF" w:themeColor="hyperlink"/>
      <w:u w:val="single"/>
    </w:rPr>
  </w:style>
  <w:style w:type="character" w:customStyle="1" w:styleId="cf01">
    <w:name w:val="cf01"/>
    <w:basedOn w:val="DefaultParagraphFont"/>
    <w:rsid w:val="008C79D5"/>
    <w:rPr>
      <w:rFonts w:ascii="Segoe UI" w:hAnsi="Segoe UI" w:cs="Segoe UI" w:hint="default"/>
      <w:sz w:val="18"/>
      <w:szCs w:val="18"/>
    </w:rPr>
  </w:style>
  <w:style w:type="paragraph" w:styleId="NoSpacing">
    <w:name w:val="No Spacing"/>
    <w:uiPriority w:val="1"/>
    <w:qFormat/>
    <w:rsid w:val="008C79D5"/>
    <w:pPr>
      <w:widowControl/>
      <w:autoSpaceDE/>
      <w:autoSpaceDN/>
    </w:pPr>
    <w:rPr>
      <w:rFonts w:ascii="Verdana" w:hAnsi="Verdana"/>
      <w:lang w:val="en-GB"/>
    </w:rPr>
  </w:style>
  <w:style w:type="paragraph" w:customStyle="1" w:styleId="Default">
    <w:name w:val="Default"/>
    <w:rsid w:val="0041170A"/>
    <w:pPr>
      <w:widowControl/>
      <w:adjustRightInd w:val="0"/>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204F64"/>
    <w:rPr>
      <w:sz w:val="16"/>
      <w:szCs w:val="16"/>
    </w:rPr>
  </w:style>
  <w:style w:type="paragraph" w:styleId="CommentText">
    <w:name w:val="annotation text"/>
    <w:basedOn w:val="Normal"/>
    <w:link w:val="CommentTextChar"/>
    <w:uiPriority w:val="99"/>
    <w:unhideWhenUsed/>
    <w:rsid w:val="00204F64"/>
    <w:pPr>
      <w:widowControl/>
      <w:autoSpaceDE/>
      <w:autoSpaceDN/>
      <w:spacing w:before="0"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204F64"/>
    <w:rPr>
      <w:sz w:val="20"/>
      <w:szCs w:val="20"/>
      <w:lang w:val="en-GB"/>
    </w:rPr>
  </w:style>
  <w:style w:type="paragraph" w:styleId="Revision">
    <w:name w:val="Revision"/>
    <w:hidden/>
    <w:uiPriority w:val="99"/>
    <w:semiHidden/>
    <w:rsid w:val="00385A42"/>
    <w:pPr>
      <w:widowControl/>
      <w:autoSpaceDE/>
      <w:autoSpaceDN/>
    </w:pPr>
    <w:rPr>
      <w:rFonts w:ascii="Verdana" w:eastAsia="Arial" w:hAnsi="Verdana" w:cs="Arial"/>
      <w:sz w:val="24"/>
    </w:rPr>
  </w:style>
  <w:style w:type="table" w:styleId="TableGrid">
    <w:name w:val="Table Grid"/>
    <w:basedOn w:val="TableNormal"/>
    <w:uiPriority w:val="39"/>
    <w:rsid w:val="00F23714"/>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97654"/>
    <w:pPr>
      <w:widowControl w:val="0"/>
      <w:autoSpaceDE w:val="0"/>
      <w:autoSpaceDN w:val="0"/>
      <w:spacing w:before="120" w:after="120"/>
    </w:pPr>
    <w:rPr>
      <w:rFonts w:ascii="Verdana" w:eastAsia="Arial" w:hAnsi="Verdana" w:cs="Arial"/>
      <w:b/>
      <w:bCs/>
      <w:lang w:val="en-US"/>
    </w:rPr>
  </w:style>
  <w:style w:type="character" w:customStyle="1" w:styleId="CommentSubjectChar">
    <w:name w:val="Comment Subject Char"/>
    <w:basedOn w:val="CommentTextChar"/>
    <w:link w:val="CommentSubject"/>
    <w:uiPriority w:val="99"/>
    <w:semiHidden/>
    <w:rsid w:val="00397654"/>
    <w:rPr>
      <w:rFonts w:ascii="Verdana" w:eastAsia="Arial" w:hAnsi="Verdana"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651567-5aec-45ad-a0eb-5651e3428cc0">
      <Terms xmlns="http://schemas.microsoft.com/office/infopath/2007/PartnerControls"/>
    </lcf76f155ced4ddcb4097134ff3c332f>
    <TaxCatchAll xmlns="1ed1f084-7463-4ae9-aa3f-3679537dcc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94541403585844BDD0608D95617637" ma:contentTypeVersion="11" ma:contentTypeDescription="Create a new document." ma:contentTypeScope="" ma:versionID="70b06680df3a8ca9fcca54e35861378c">
  <xsd:schema xmlns:xsd="http://www.w3.org/2001/XMLSchema" xmlns:xs="http://www.w3.org/2001/XMLSchema" xmlns:p="http://schemas.microsoft.com/office/2006/metadata/properties" xmlns:ns2="b2651567-5aec-45ad-a0eb-5651e3428cc0" xmlns:ns3="1ed1f084-7463-4ae9-aa3f-3679537dcc98" targetNamespace="http://schemas.microsoft.com/office/2006/metadata/properties" ma:root="true" ma:fieldsID="8563273809440e098164910960fda2da" ns2:_="" ns3:_="">
    <xsd:import namespace="b2651567-5aec-45ad-a0eb-5651e3428cc0"/>
    <xsd:import namespace="1ed1f084-7463-4ae9-aa3f-3679537dcc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51567-5aec-45ad-a0eb-5651e3428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1f084-7463-4ae9-aa3f-3679537dcc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38f331-1ad1-46e5-b716-7aaaaec7362d}" ma:internalName="TaxCatchAll" ma:showField="CatchAllData" ma:web="1ed1f084-7463-4ae9-aa3f-3679537dc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FB0E2-0D76-4C0D-B61E-91ECA12AAE15}">
  <ds:schemaRefs>
    <ds:schemaRef ds:uri="http://schemas.openxmlformats.org/officeDocument/2006/bibliography"/>
  </ds:schemaRefs>
</ds:datastoreItem>
</file>

<file path=customXml/itemProps2.xml><?xml version="1.0" encoding="utf-8"?>
<ds:datastoreItem xmlns:ds="http://schemas.openxmlformats.org/officeDocument/2006/customXml" ds:itemID="{DDA443FC-3055-4393-A2BA-BBE0FB688E5A}">
  <ds:schemaRefs>
    <ds:schemaRef ds:uri="http://schemas.microsoft.com/office/2006/metadata/properties"/>
    <ds:schemaRef ds:uri="http://schemas.microsoft.com/office/infopath/2007/PartnerControls"/>
    <ds:schemaRef ds:uri="b2651567-5aec-45ad-a0eb-5651e3428cc0"/>
    <ds:schemaRef ds:uri="1ed1f084-7463-4ae9-aa3f-3679537dcc98"/>
  </ds:schemaRefs>
</ds:datastoreItem>
</file>

<file path=customXml/itemProps3.xml><?xml version="1.0" encoding="utf-8"?>
<ds:datastoreItem xmlns:ds="http://schemas.openxmlformats.org/officeDocument/2006/customXml" ds:itemID="{7382336A-99D9-44EE-8371-5035BF1E3F17}">
  <ds:schemaRefs>
    <ds:schemaRef ds:uri="http://schemas.microsoft.com/sharepoint/v3/contenttype/forms"/>
  </ds:schemaRefs>
</ds:datastoreItem>
</file>

<file path=customXml/itemProps4.xml><?xml version="1.0" encoding="utf-8"?>
<ds:datastoreItem xmlns:ds="http://schemas.openxmlformats.org/officeDocument/2006/customXml" ds:itemID="{E81CE86C-9CED-4134-927C-3B2E4E343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51567-5aec-45ad-a0eb-5651e3428cc0"/>
    <ds:schemaRef ds:uri="1ed1f084-7463-4ae9-aa3f-3679537dc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Gas safety policy 2022</vt:lpstr>
    </vt:vector>
  </TitlesOfParts>
  <Company>London Borough of Ealing</Company>
  <LinksUpToDate>false</LinksUpToDate>
  <CharactersWithSpaces>15276</CharactersWithSpaces>
  <SharedDoc>false</SharedDoc>
  <HLinks>
    <vt:vector size="84" baseType="variant">
      <vt:variant>
        <vt:i4>1376308</vt:i4>
      </vt:variant>
      <vt:variant>
        <vt:i4>80</vt:i4>
      </vt:variant>
      <vt:variant>
        <vt:i4>0</vt:i4>
      </vt:variant>
      <vt:variant>
        <vt:i4>5</vt:i4>
      </vt:variant>
      <vt:variant>
        <vt:lpwstr/>
      </vt:variant>
      <vt:variant>
        <vt:lpwstr>_Toc200227474</vt:lpwstr>
      </vt:variant>
      <vt:variant>
        <vt:i4>1376308</vt:i4>
      </vt:variant>
      <vt:variant>
        <vt:i4>74</vt:i4>
      </vt:variant>
      <vt:variant>
        <vt:i4>0</vt:i4>
      </vt:variant>
      <vt:variant>
        <vt:i4>5</vt:i4>
      </vt:variant>
      <vt:variant>
        <vt:lpwstr/>
      </vt:variant>
      <vt:variant>
        <vt:lpwstr>_Toc200227473</vt:lpwstr>
      </vt:variant>
      <vt:variant>
        <vt:i4>1376308</vt:i4>
      </vt:variant>
      <vt:variant>
        <vt:i4>68</vt:i4>
      </vt:variant>
      <vt:variant>
        <vt:i4>0</vt:i4>
      </vt:variant>
      <vt:variant>
        <vt:i4>5</vt:i4>
      </vt:variant>
      <vt:variant>
        <vt:lpwstr/>
      </vt:variant>
      <vt:variant>
        <vt:lpwstr>_Toc200227472</vt:lpwstr>
      </vt:variant>
      <vt:variant>
        <vt:i4>1376308</vt:i4>
      </vt:variant>
      <vt:variant>
        <vt:i4>62</vt:i4>
      </vt:variant>
      <vt:variant>
        <vt:i4>0</vt:i4>
      </vt:variant>
      <vt:variant>
        <vt:i4>5</vt:i4>
      </vt:variant>
      <vt:variant>
        <vt:lpwstr/>
      </vt:variant>
      <vt:variant>
        <vt:lpwstr>_Toc200227471</vt:lpwstr>
      </vt:variant>
      <vt:variant>
        <vt:i4>1376308</vt:i4>
      </vt:variant>
      <vt:variant>
        <vt:i4>56</vt:i4>
      </vt:variant>
      <vt:variant>
        <vt:i4>0</vt:i4>
      </vt:variant>
      <vt:variant>
        <vt:i4>5</vt:i4>
      </vt:variant>
      <vt:variant>
        <vt:lpwstr/>
      </vt:variant>
      <vt:variant>
        <vt:lpwstr>_Toc200227470</vt:lpwstr>
      </vt:variant>
      <vt:variant>
        <vt:i4>1310772</vt:i4>
      </vt:variant>
      <vt:variant>
        <vt:i4>50</vt:i4>
      </vt:variant>
      <vt:variant>
        <vt:i4>0</vt:i4>
      </vt:variant>
      <vt:variant>
        <vt:i4>5</vt:i4>
      </vt:variant>
      <vt:variant>
        <vt:lpwstr/>
      </vt:variant>
      <vt:variant>
        <vt:lpwstr>_Toc200227469</vt:lpwstr>
      </vt:variant>
      <vt:variant>
        <vt:i4>1310772</vt:i4>
      </vt:variant>
      <vt:variant>
        <vt:i4>44</vt:i4>
      </vt:variant>
      <vt:variant>
        <vt:i4>0</vt:i4>
      </vt:variant>
      <vt:variant>
        <vt:i4>5</vt:i4>
      </vt:variant>
      <vt:variant>
        <vt:lpwstr/>
      </vt:variant>
      <vt:variant>
        <vt:lpwstr>_Toc200227468</vt:lpwstr>
      </vt:variant>
      <vt:variant>
        <vt:i4>1310772</vt:i4>
      </vt:variant>
      <vt:variant>
        <vt:i4>38</vt:i4>
      </vt:variant>
      <vt:variant>
        <vt:i4>0</vt:i4>
      </vt:variant>
      <vt:variant>
        <vt:i4>5</vt:i4>
      </vt:variant>
      <vt:variant>
        <vt:lpwstr/>
      </vt:variant>
      <vt:variant>
        <vt:lpwstr>_Toc200227467</vt:lpwstr>
      </vt:variant>
      <vt:variant>
        <vt:i4>1310772</vt:i4>
      </vt:variant>
      <vt:variant>
        <vt:i4>32</vt:i4>
      </vt:variant>
      <vt:variant>
        <vt:i4>0</vt:i4>
      </vt:variant>
      <vt:variant>
        <vt:i4>5</vt:i4>
      </vt:variant>
      <vt:variant>
        <vt:lpwstr/>
      </vt:variant>
      <vt:variant>
        <vt:lpwstr>_Toc200227466</vt:lpwstr>
      </vt:variant>
      <vt:variant>
        <vt:i4>1310772</vt:i4>
      </vt:variant>
      <vt:variant>
        <vt:i4>26</vt:i4>
      </vt:variant>
      <vt:variant>
        <vt:i4>0</vt:i4>
      </vt:variant>
      <vt:variant>
        <vt:i4>5</vt:i4>
      </vt:variant>
      <vt:variant>
        <vt:lpwstr/>
      </vt:variant>
      <vt:variant>
        <vt:lpwstr>_Toc200227465</vt:lpwstr>
      </vt:variant>
      <vt:variant>
        <vt:i4>1310772</vt:i4>
      </vt:variant>
      <vt:variant>
        <vt:i4>20</vt:i4>
      </vt:variant>
      <vt:variant>
        <vt:i4>0</vt:i4>
      </vt:variant>
      <vt:variant>
        <vt:i4>5</vt:i4>
      </vt:variant>
      <vt:variant>
        <vt:lpwstr/>
      </vt:variant>
      <vt:variant>
        <vt:lpwstr>_Toc200227464</vt:lpwstr>
      </vt:variant>
      <vt:variant>
        <vt:i4>1310772</vt:i4>
      </vt:variant>
      <vt:variant>
        <vt:i4>14</vt:i4>
      </vt:variant>
      <vt:variant>
        <vt:i4>0</vt:i4>
      </vt:variant>
      <vt:variant>
        <vt:i4>5</vt:i4>
      </vt:variant>
      <vt:variant>
        <vt:lpwstr/>
      </vt:variant>
      <vt:variant>
        <vt:lpwstr>_Toc200227463</vt:lpwstr>
      </vt:variant>
      <vt:variant>
        <vt:i4>1310772</vt:i4>
      </vt:variant>
      <vt:variant>
        <vt:i4>8</vt:i4>
      </vt:variant>
      <vt:variant>
        <vt:i4>0</vt:i4>
      </vt:variant>
      <vt:variant>
        <vt:i4>5</vt:i4>
      </vt:variant>
      <vt:variant>
        <vt:lpwstr/>
      </vt:variant>
      <vt:variant>
        <vt:lpwstr>_Toc200227462</vt:lpwstr>
      </vt:variant>
      <vt:variant>
        <vt:i4>1310772</vt:i4>
      </vt:variant>
      <vt:variant>
        <vt:i4>2</vt:i4>
      </vt:variant>
      <vt:variant>
        <vt:i4>0</vt:i4>
      </vt:variant>
      <vt:variant>
        <vt:i4>5</vt:i4>
      </vt:variant>
      <vt:variant>
        <vt:lpwstr/>
      </vt:variant>
      <vt:variant>
        <vt:lpwstr>_Toc200227461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safety policy</dc:title>
  <dc:creator>Rebecca Outram</dc:creator>
  <cp:lastModifiedBy>Aisha Tarhzouti</cp:lastModifiedBy>
  <cp:revision>4</cp:revision>
  <cp:lastPrinted>2025-07-17T08:12:00Z</cp:lastPrinted>
  <dcterms:created xsi:type="dcterms:W3CDTF">2025-07-17T08:12:00Z</dcterms:created>
  <dcterms:modified xsi:type="dcterms:W3CDTF">2025-07-17T08:14:00Z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Producer">
    <vt:lpwstr>Microsoft® Word for Microsoft 365</vt:lpwstr>
  </property>
  <property fmtid="{D5CDD505-2E9C-101B-9397-08002B2CF9AE}" pid="6" name="ContentTypeId">
    <vt:lpwstr>0x010100FD94541403585844BDD0608D95617637</vt:lpwstr>
  </property>
</Properties>
</file>