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0920" w14:textId="77777777" w:rsidR="00345881" w:rsidRPr="00EE56E3" w:rsidRDefault="001D7017" w:rsidP="00EE56E3">
      <w:pPr>
        <w:pStyle w:val="Default"/>
        <w:jc w:val="center"/>
        <w:rPr>
          <w:b/>
          <w:bCs/>
          <w:u w:val="single"/>
        </w:rPr>
      </w:pPr>
      <w:r w:rsidRPr="00EE56E3">
        <w:rPr>
          <w:b/>
          <w:bCs/>
          <w:u w:val="single"/>
        </w:rPr>
        <w:t xml:space="preserve">Workplace </w:t>
      </w:r>
      <w:r w:rsidR="007312ED" w:rsidRPr="00EE56E3">
        <w:rPr>
          <w:b/>
          <w:bCs/>
          <w:u w:val="single"/>
        </w:rPr>
        <w:t>Safety Team</w:t>
      </w:r>
      <w:r w:rsidR="00EE56E3" w:rsidRPr="00EE56E3">
        <w:rPr>
          <w:b/>
          <w:bCs/>
          <w:u w:val="single"/>
        </w:rPr>
        <w:t xml:space="preserve"> </w:t>
      </w:r>
      <w:r w:rsidR="00EE56E3">
        <w:rPr>
          <w:b/>
          <w:bCs/>
          <w:u w:val="single"/>
        </w:rPr>
        <w:t xml:space="preserve">- </w:t>
      </w:r>
      <w:r w:rsidR="00CE5693" w:rsidRPr="00EE56E3">
        <w:rPr>
          <w:b/>
          <w:bCs/>
          <w:u w:val="single"/>
        </w:rPr>
        <w:t>General policy on selection and investigation of workplace service requests and incidents</w:t>
      </w:r>
    </w:p>
    <w:p w14:paraId="2C51D470" w14:textId="77777777" w:rsidR="00FD7E8C" w:rsidRDefault="00FD7E8C" w:rsidP="00FD7E8C">
      <w:pPr>
        <w:pStyle w:val="Default"/>
        <w:rPr>
          <w:color w:val="auto"/>
        </w:rPr>
      </w:pPr>
    </w:p>
    <w:p w14:paraId="5A4F8EEC" w14:textId="77777777" w:rsidR="00FD7E8C" w:rsidRDefault="00164268" w:rsidP="00FD7E8C">
      <w:pPr>
        <w:pStyle w:val="Default"/>
        <w:rPr>
          <w:color w:val="auto"/>
        </w:rPr>
      </w:pPr>
      <w:r w:rsidRPr="00FD7E8C">
        <w:rPr>
          <w:color w:val="auto"/>
        </w:rPr>
        <w:t>The</w:t>
      </w:r>
      <w:r w:rsidR="00FD7E8C">
        <w:rPr>
          <w:color w:val="auto"/>
        </w:rPr>
        <w:t xml:space="preserve"> duty to </w:t>
      </w:r>
      <w:r w:rsidRPr="00FD7E8C">
        <w:rPr>
          <w:color w:val="auto"/>
        </w:rPr>
        <w:t xml:space="preserve">enforce the </w:t>
      </w:r>
      <w:r w:rsidR="00FD7E8C">
        <w:rPr>
          <w:color w:val="auto"/>
        </w:rPr>
        <w:t xml:space="preserve">Health and Safety at Work etc Act 1974 lies mainly with either the </w:t>
      </w:r>
      <w:r w:rsidRPr="00FD7E8C">
        <w:rPr>
          <w:color w:val="auto"/>
        </w:rPr>
        <w:t>Health and Safety Executive (HSE)</w:t>
      </w:r>
      <w:r w:rsidR="00FD7E8C">
        <w:rPr>
          <w:color w:val="auto"/>
        </w:rPr>
        <w:t xml:space="preserve"> or the local authority</w:t>
      </w:r>
      <w:r w:rsidR="00EE56E3">
        <w:rPr>
          <w:color w:val="auto"/>
        </w:rPr>
        <w:t>,</w:t>
      </w:r>
      <w:r w:rsidR="00FD7E8C">
        <w:rPr>
          <w:color w:val="auto"/>
        </w:rPr>
        <w:t xml:space="preserve"> which in</w:t>
      </w:r>
      <w:r w:rsidR="00EE56E3">
        <w:rPr>
          <w:color w:val="auto"/>
        </w:rPr>
        <w:t xml:space="preserve"> the London Borough of Ealing</w:t>
      </w:r>
      <w:r w:rsidR="00FD7E8C">
        <w:rPr>
          <w:color w:val="auto"/>
        </w:rPr>
        <w:t xml:space="preserve"> is Ealing Council</w:t>
      </w:r>
      <w:r w:rsidRPr="00FD7E8C">
        <w:rPr>
          <w:color w:val="auto"/>
        </w:rPr>
        <w:t xml:space="preserve">. </w:t>
      </w:r>
    </w:p>
    <w:p w14:paraId="392AE374" w14:textId="77777777" w:rsidR="00FD7E8C" w:rsidRDefault="00FD7E8C" w:rsidP="00FD7E8C">
      <w:pPr>
        <w:pStyle w:val="Default"/>
        <w:rPr>
          <w:color w:val="auto"/>
        </w:rPr>
      </w:pPr>
    </w:p>
    <w:p w14:paraId="3D64AC50" w14:textId="1C8BB4EC" w:rsidR="00164268" w:rsidRDefault="00164268" w:rsidP="00FD7E8C">
      <w:pPr>
        <w:pStyle w:val="Default"/>
        <w:rPr>
          <w:color w:val="auto"/>
        </w:rPr>
      </w:pPr>
      <w:r w:rsidRPr="00FD7E8C">
        <w:rPr>
          <w:color w:val="auto"/>
        </w:rPr>
        <w:t xml:space="preserve">The Health and Safety (Enforcing Authority) Regulations 1998 set out the allocation of premises which fall to </w:t>
      </w:r>
      <w:hyperlink r:id="rId8" w:history="1">
        <w:r w:rsidRPr="00DF52D0">
          <w:rPr>
            <w:rStyle w:val="Hyperlink"/>
          </w:rPr>
          <w:t>each organisation</w:t>
        </w:r>
      </w:hyperlink>
      <w:r w:rsidR="00DF52D0">
        <w:rPr>
          <w:color w:val="auto"/>
        </w:rPr>
        <w:t>.</w:t>
      </w:r>
    </w:p>
    <w:p w14:paraId="5A33445D" w14:textId="77777777" w:rsidR="00FD7E8C" w:rsidRDefault="00FD7E8C" w:rsidP="00FD7E8C">
      <w:pPr>
        <w:pStyle w:val="Default"/>
        <w:rPr>
          <w:color w:val="auto"/>
        </w:rPr>
      </w:pPr>
    </w:p>
    <w:p w14:paraId="7BD292AD" w14:textId="77777777" w:rsidR="00FD7E8C" w:rsidRDefault="00FD7E8C" w:rsidP="00FD7E8C">
      <w:pPr>
        <w:pStyle w:val="Default"/>
      </w:pPr>
      <w:r>
        <w:rPr>
          <w:color w:val="auto"/>
        </w:rPr>
        <w:t>Where</w:t>
      </w:r>
      <w:r w:rsidR="00EE56E3">
        <w:rPr>
          <w:color w:val="auto"/>
        </w:rPr>
        <w:t xml:space="preserve"> a</w:t>
      </w:r>
      <w:r>
        <w:rPr>
          <w:color w:val="auto"/>
        </w:rPr>
        <w:t xml:space="preserve"> matter concerns a workplace or activity which the HSE have the enforcement duty</w:t>
      </w:r>
      <w:r w:rsidR="00EE56E3">
        <w:rPr>
          <w:color w:val="auto"/>
        </w:rPr>
        <w:t>,</w:t>
      </w:r>
      <w:r>
        <w:rPr>
          <w:color w:val="auto"/>
        </w:rPr>
        <w:t xml:space="preserve"> or where other regulators exist (</w:t>
      </w:r>
      <w:r w:rsidRPr="00FD7E8C">
        <w:t>for example the Care Quality Commission regulate standards of social care in care homes</w:t>
      </w:r>
      <w:r>
        <w:t xml:space="preserve">), the Council is not able to take any action. </w:t>
      </w:r>
      <w:r w:rsidR="00EE56E3">
        <w:t>These concerns</w:t>
      </w:r>
      <w:r>
        <w:t xml:space="preserve"> will </w:t>
      </w:r>
      <w:r w:rsidR="00EE56E3">
        <w:t>have to be taken up directly with the appropriate agencies and the Council’s Workplace Safety Team will not intercede on any party’s behalf in such matters.</w:t>
      </w:r>
    </w:p>
    <w:p w14:paraId="5851F075" w14:textId="77777777" w:rsidR="00FD7E8C" w:rsidRPr="00FD7E8C" w:rsidRDefault="00FD7E8C" w:rsidP="00FD7E8C">
      <w:pPr>
        <w:pStyle w:val="Default"/>
        <w:rPr>
          <w:color w:val="auto"/>
        </w:rPr>
      </w:pPr>
    </w:p>
    <w:p w14:paraId="5A828AD9" w14:textId="77777777" w:rsidR="00CE5693" w:rsidRPr="00FD7E8C" w:rsidRDefault="00CE5693" w:rsidP="00FD7E8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FD7E8C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Service Requests</w:t>
      </w:r>
    </w:p>
    <w:p w14:paraId="5D159892" w14:textId="77777777" w:rsidR="0044544D" w:rsidRPr="00FD7E8C" w:rsidRDefault="0044544D" w:rsidP="00FD7E8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</w:p>
    <w:p w14:paraId="208B0EE7" w14:textId="77777777" w:rsidR="00CE5693" w:rsidRPr="00FD7E8C" w:rsidRDefault="00CE5693" w:rsidP="00FD7E8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FD7E8C">
        <w:rPr>
          <w:rFonts w:ascii="Arial" w:hAnsi="Arial" w:cs="Arial"/>
          <w:sz w:val="24"/>
          <w:szCs w:val="24"/>
          <w:lang w:eastAsia="en-GB"/>
        </w:rPr>
        <w:t>When deciding which concerns to investigate and the level of resource to be allocated to the</w:t>
      </w:r>
      <w:r w:rsidR="00FD7E8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FD7E8C">
        <w:rPr>
          <w:rFonts w:ascii="Arial" w:hAnsi="Arial" w:cs="Arial"/>
          <w:sz w:val="24"/>
          <w:szCs w:val="24"/>
          <w:lang w:eastAsia="en-GB"/>
        </w:rPr>
        <w:t>investigation, the team will consider whether:</w:t>
      </w:r>
    </w:p>
    <w:p w14:paraId="11C7830C" w14:textId="77777777" w:rsidR="00CE5693" w:rsidRPr="00EE56E3" w:rsidRDefault="00CE5693" w:rsidP="00FD7E8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E56E3">
        <w:rPr>
          <w:rFonts w:ascii="Arial" w:hAnsi="Arial" w:cs="Arial"/>
          <w:sz w:val="24"/>
          <w:szCs w:val="24"/>
          <w:lang w:eastAsia="en-GB"/>
        </w:rPr>
        <w:t>The work activity is regulated by the Local Authority</w:t>
      </w:r>
      <w:r w:rsidR="00A364BA" w:rsidRPr="00EE56E3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DFB0FA5" w14:textId="77777777" w:rsidR="00A364BA" w:rsidRPr="00EE56E3" w:rsidRDefault="00CE5693" w:rsidP="00FD7E8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E56E3">
        <w:rPr>
          <w:rFonts w:ascii="Arial" w:hAnsi="Arial" w:cs="Arial"/>
          <w:sz w:val="24"/>
          <w:szCs w:val="24"/>
          <w:lang w:eastAsia="en-GB"/>
        </w:rPr>
        <w:t xml:space="preserve">The concern arises </w:t>
      </w:r>
      <w:proofErr w:type="gramStart"/>
      <w:r w:rsidRPr="00EE56E3">
        <w:rPr>
          <w:rFonts w:ascii="Arial" w:hAnsi="Arial" w:cs="Arial"/>
          <w:sz w:val="24"/>
          <w:szCs w:val="24"/>
          <w:lang w:eastAsia="en-GB"/>
        </w:rPr>
        <w:t>as a result of</w:t>
      </w:r>
      <w:proofErr w:type="gramEnd"/>
      <w:r w:rsidRPr="00EE56E3">
        <w:rPr>
          <w:rFonts w:ascii="Arial" w:hAnsi="Arial" w:cs="Arial"/>
          <w:sz w:val="24"/>
          <w:szCs w:val="24"/>
          <w:lang w:eastAsia="en-GB"/>
        </w:rPr>
        <w:t xml:space="preserve"> work activity</w:t>
      </w:r>
    </w:p>
    <w:p w14:paraId="1393EDD5" w14:textId="77777777" w:rsidR="00FD7E8C" w:rsidRPr="00EE56E3" w:rsidRDefault="00CE5693" w:rsidP="00FD7E8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E56E3">
        <w:rPr>
          <w:rFonts w:ascii="Arial" w:hAnsi="Arial" w:cs="Arial"/>
          <w:sz w:val="24"/>
          <w:szCs w:val="24"/>
          <w:lang w:eastAsia="en-GB"/>
        </w:rPr>
        <w:t>The provided information is sufficient to identify the responsible person</w:t>
      </w:r>
    </w:p>
    <w:p w14:paraId="03AFCA51" w14:textId="7E67F4E4" w:rsidR="0044544D" w:rsidRPr="00A0423B" w:rsidRDefault="00CE5693" w:rsidP="00EE56E3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0423B">
        <w:rPr>
          <w:rFonts w:ascii="Arial" w:hAnsi="Arial" w:cs="Arial"/>
          <w:sz w:val="24"/>
          <w:szCs w:val="24"/>
          <w:lang w:eastAsia="en-GB"/>
        </w:rPr>
        <w:t>The complaint meets the</w:t>
      </w:r>
      <w:r w:rsidR="00EE56E3" w:rsidRPr="00A0423B">
        <w:rPr>
          <w:rFonts w:ascii="Arial" w:hAnsi="Arial" w:cs="Arial"/>
          <w:sz w:val="24"/>
          <w:szCs w:val="24"/>
          <w:lang w:eastAsia="en-GB"/>
        </w:rPr>
        <w:t xml:space="preserve"> HSE’s</w:t>
      </w:r>
      <w:r w:rsidRPr="00A0423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A0423B" w:rsidRPr="00A0423B">
        <w:rPr>
          <w:rFonts w:ascii="Arial" w:hAnsi="Arial" w:cs="Arial"/>
          <w:sz w:val="24"/>
          <w:szCs w:val="24"/>
          <w:lang w:eastAsia="en-GB"/>
        </w:rPr>
        <w:t>risk-based</w:t>
      </w:r>
      <w:r w:rsidRPr="00A0423B">
        <w:rPr>
          <w:rFonts w:ascii="Arial" w:hAnsi="Arial" w:cs="Arial"/>
          <w:sz w:val="24"/>
          <w:szCs w:val="24"/>
          <w:lang w:eastAsia="en-GB"/>
        </w:rPr>
        <w:t xml:space="preserve"> approach </w:t>
      </w:r>
      <w:hyperlink r:id="rId9" w:history="1">
        <w:r w:rsidRPr="00A0423B">
          <w:rPr>
            <w:rStyle w:val="Hyperlink"/>
            <w:rFonts w:ascii="Arial" w:hAnsi="Arial" w:cs="Arial"/>
            <w:sz w:val="24"/>
            <w:szCs w:val="24"/>
            <w:lang w:eastAsia="en-GB"/>
          </w:rPr>
          <w:t>criteria</w:t>
        </w:r>
      </w:hyperlink>
      <w:r w:rsidR="00A364BA" w:rsidRPr="00A0423B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752AC1FD" w14:textId="77777777" w:rsidR="00A0423B" w:rsidRPr="00A0423B" w:rsidRDefault="00A0423B" w:rsidP="00A0423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9F149FD" w14:textId="77777777" w:rsidR="00CE5693" w:rsidRPr="00FD7E8C" w:rsidRDefault="00CE5693" w:rsidP="00FD7E8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FD7E8C">
        <w:rPr>
          <w:rFonts w:ascii="Arial" w:hAnsi="Arial" w:cs="Arial"/>
          <w:sz w:val="24"/>
          <w:szCs w:val="24"/>
          <w:lang w:eastAsia="en-GB"/>
        </w:rPr>
        <w:t>When selecting incidents for further investigation the team will also consider whether:</w:t>
      </w:r>
    </w:p>
    <w:p w14:paraId="08B02A1B" w14:textId="77777777" w:rsidR="00A364BA" w:rsidRPr="00FD7E8C" w:rsidRDefault="00CE5693" w:rsidP="00FD7E8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FD7E8C">
        <w:rPr>
          <w:rFonts w:ascii="Arial" w:hAnsi="Arial" w:cs="Arial"/>
          <w:sz w:val="24"/>
          <w:szCs w:val="24"/>
          <w:lang w:eastAsia="en-GB"/>
        </w:rPr>
        <w:t xml:space="preserve">There </w:t>
      </w:r>
      <w:r w:rsidR="00FD7E8C">
        <w:rPr>
          <w:rFonts w:ascii="Arial" w:hAnsi="Arial" w:cs="Arial"/>
          <w:sz w:val="24"/>
          <w:szCs w:val="24"/>
          <w:lang w:eastAsia="en-GB"/>
        </w:rPr>
        <w:t xml:space="preserve">is evidence there has </w:t>
      </w:r>
      <w:r w:rsidRPr="00FD7E8C">
        <w:rPr>
          <w:rFonts w:ascii="Arial" w:hAnsi="Arial" w:cs="Arial"/>
          <w:sz w:val="24"/>
          <w:szCs w:val="24"/>
          <w:lang w:eastAsia="en-GB"/>
        </w:rPr>
        <w:t>been an actual breach of law and the seriousness of th</w:t>
      </w:r>
      <w:r w:rsidR="00FD7E8C">
        <w:rPr>
          <w:rFonts w:ascii="Arial" w:hAnsi="Arial" w:cs="Arial"/>
          <w:sz w:val="24"/>
          <w:szCs w:val="24"/>
          <w:lang w:eastAsia="en-GB"/>
        </w:rPr>
        <w:t>e potential</w:t>
      </w:r>
      <w:r w:rsidRPr="00FD7E8C">
        <w:rPr>
          <w:rFonts w:ascii="Arial" w:hAnsi="Arial" w:cs="Arial"/>
          <w:sz w:val="24"/>
          <w:szCs w:val="24"/>
          <w:lang w:eastAsia="en-GB"/>
        </w:rPr>
        <w:t xml:space="preserve"> breach</w:t>
      </w:r>
    </w:p>
    <w:p w14:paraId="694C1450" w14:textId="77777777" w:rsidR="00A364BA" w:rsidRPr="00FD7E8C" w:rsidRDefault="00CE5693" w:rsidP="00FD7E8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FD7E8C">
        <w:rPr>
          <w:rFonts w:ascii="Arial" w:hAnsi="Arial" w:cs="Arial"/>
          <w:sz w:val="24"/>
          <w:szCs w:val="24"/>
          <w:lang w:eastAsia="en-GB"/>
        </w:rPr>
        <w:t>Duty holders’ known past health and safety performance</w:t>
      </w:r>
    </w:p>
    <w:p w14:paraId="26B43E58" w14:textId="77777777" w:rsidR="00CE5693" w:rsidRPr="00FD7E8C" w:rsidRDefault="00CE5693" w:rsidP="00FD7E8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FD7E8C">
        <w:rPr>
          <w:rFonts w:ascii="Arial" w:hAnsi="Arial" w:cs="Arial"/>
          <w:sz w:val="24"/>
          <w:szCs w:val="24"/>
          <w:lang w:eastAsia="en-GB"/>
        </w:rPr>
        <w:t>Enforcement priorities according to the HSE’s LA Enforcement Code</w:t>
      </w:r>
    </w:p>
    <w:p w14:paraId="6BC8846B" w14:textId="77777777" w:rsidR="00A364BA" w:rsidRPr="00FD7E8C" w:rsidRDefault="00A364BA" w:rsidP="00FD7E8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FD7E8C">
        <w:rPr>
          <w:rFonts w:ascii="Arial" w:hAnsi="Arial" w:cs="Arial"/>
          <w:sz w:val="24"/>
          <w:szCs w:val="24"/>
          <w:lang w:eastAsia="en-GB"/>
        </w:rPr>
        <w:t>Practicality of investigation (</w:t>
      </w:r>
      <w:proofErr w:type="gramStart"/>
      <w:r w:rsidRPr="00FD7E8C">
        <w:rPr>
          <w:rFonts w:ascii="Arial" w:hAnsi="Arial" w:cs="Arial"/>
          <w:sz w:val="24"/>
          <w:szCs w:val="24"/>
          <w:lang w:eastAsia="en-GB"/>
        </w:rPr>
        <w:t>e.g.</w:t>
      </w:r>
      <w:proofErr w:type="gramEnd"/>
      <w:r w:rsidRPr="00FD7E8C">
        <w:rPr>
          <w:rFonts w:ascii="Arial" w:hAnsi="Arial" w:cs="Arial"/>
          <w:sz w:val="24"/>
          <w:szCs w:val="24"/>
          <w:lang w:eastAsia="en-GB"/>
        </w:rPr>
        <w:t xml:space="preserve"> unavailability of key witness(es), key evidence)</w:t>
      </w:r>
    </w:p>
    <w:p w14:paraId="068CDD88" w14:textId="77777777" w:rsidR="00BE73B2" w:rsidRPr="00FD7E8C" w:rsidRDefault="00A364BA" w:rsidP="00FD7E8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FD7E8C">
        <w:rPr>
          <w:rFonts w:ascii="Arial" w:hAnsi="Arial" w:cs="Arial"/>
          <w:sz w:val="24"/>
          <w:szCs w:val="24"/>
          <w:lang w:eastAsia="en-GB"/>
        </w:rPr>
        <w:t xml:space="preserve">Availability of resources </w:t>
      </w:r>
    </w:p>
    <w:p w14:paraId="651B6A2B" w14:textId="77777777" w:rsidR="00BE73B2" w:rsidRPr="00FD7E8C" w:rsidRDefault="00BE73B2" w:rsidP="00FD7E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4E390" w14:textId="77777777" w:rsidR="00FD7E8C" w:rsidRDefault="00CE5693" w:rsidP="00FD7E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>The following are examples of situations where it is unlikely that an investigation will be carried out:</w:t>
      </w:r>
    </w:p>
    <w:p w14:paraId="075AF364" w14:textId="77777777" w:rsidR="00EE56E3" w:rsidRDefault="00EE56E3" w:rsidP="00EE56E3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allegations are made by anonymous sources</w:t>
      </w:r>
    </w:p>
    <w:p w14:paraId="47380245" w14:textId="77777777" w:rsidR="00A364BA" w:rsidRPr="00FD7E8C" w:rsidRDefault="00CE5693" w:rsidP="00EE56E3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 xml:space="preserve">Where alleged contraventions have already been rectified </w:t>
      </w:r>
    </w:p>
    <w:p w14:paraId="4ABBDAB8" w14:textId="77777777" w:rsidR="00A364BA" w:rsidRPr="00FD7E8C" w:rsidRDefault="00CE5693" w:rsidP="00EE56E3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>Where alleged contraventions no longer exist (</w:t>
      </w:r>
      <w:proofErr w:type="gramStart"/>
      <w:r w:rsidRPr="00FD7E8C">
        <w:rPr>
          <w:rFonts w:ascii="Arial" w:hAnsi="Arial" w:cs="Arial"/>
          <w:sz w:val="24"/>
          <w:szCs w:val="24"/>
        </w:rPr>
        <w:t>e.g.</w:t>
      </w:r>
      <w:proofErr w:type="gramEnd"/>
      <w:r w:rsidRPr="00FD7E8C">
        <w:rPr>
          <w:rFonts w:ascii="Arial" w:hAnsi="Arial" w:cs="Arial"/>
          <w:sz w:val="24"/>
          <w:szCs w:val="24"/>
        </w:rPr>
        <w:t xml:space="preserve"> historical allegations) </w:t>
      </w:r>
    </w:p>
    <w:p w14:paraId="23C2B3E4" w14:textId="77777777" w:rsidR="00A364BA" w:rsidRPr="00FD7E8C" w:rsidRDefault="00CE5693" w:rsidP="00EE56E3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 xml:space="preserve">Where </w:t>
      </w:r>
      <w:r w:rsidR="008C6CB9" w:rsidRPr="00FD7E8C">
        <w:rPr>
          <w:rFonts w:ascii="Arial" w:hAnsi="Arial" w:cs="Arial"/>
          <w:sz w:val="24"/>
          <w:szCs w:val="24"/>
        </w:rPr>
        <w:t>first-hand</w:t>
      </w:r>
      <w:r w:rsidRPr="00FD7E8C">
        <w:rPr>
          <w:rFonts w:ascii="Arial" w:hAnsi="Arial" w:cs="Arial"/>
          <w:sz w:val="24"/>
          <w:szCs w:val="24"/>
        </w:rPr>
        <w:t xml:space="preserve"> witnesses are not available (</w:t>
      </w:r>
      <w:proofErr w:type="gramStart"/>
      <w:r w:rsidRPr="00FD7E8C">
        <w:rPr>
          <w:rFonts w:ascii="Arial" w:hAnsi="Arial" w:cs="Arial"/>
          <w:sz w:val="24"/>
          <w:szCs w:val="24"/>
        </w:rPr>
        <w:t>e.g.</w:t>
      </w:r>
      <w:proofErr w:type="gramEnd"/>
      <w:r w:rsidRPr="00FD7E8C">
        <w:rPr>
          <w:rFonts w:ascii="Arial" w:hAnsi="Arial" w:cs="Arial"/>
          <w:sz w:val="24"/>
          <w:szCs w:val="24"/>
        </w:rPr>
        <w:t xml:space="preserve"> service requests made on the basis of rumour or hearsay) </w:t>
      </w:r>
    </w:p>
    <w:p w14:paraId="7F7BECA5" w14:textId="77777777" w:rsidR="00A364BA" w:rsidRPr="00FD7E8C" w:rsidRDefault="00CE5693" w:rsidP="00EE56E3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lastRenderedPageBreak/>
        <w:t xml:space="preserve">Where the incident did not occur within the boundaries of the London Borough of Ealing </w:t>
      </w:r>
    </w:p>
    <w:p w14:paraId="50326655" w14:textId="77777777" w:rsidR="00A364BA" w:rsidRPr="00FD7E8C" w:rsidRDefault="00CE5693" w:rsidP="00EE56E3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 xml:space="preserve">Where there is a low likelihood of proving beyond reasonable doubt an offence had been committed (particularly if a civil remedy is more likely to achieve a satisfactory resolution) </w:t>
      </w:r>
    </w:p>
    <w:p w14:paraId="388CB667" w14:textId="77777777" w:rsidR="00A364BA" w:rsidRPr="00FD7E8C" w:rsidRDefault="00CE5693" w:rsidP="00EE56E3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>Where duty holders no longer exist (</w:t>
      </w:r>
      <w:proofErr w:type="gramStart"/>
      <w:r w:rsidRPr="00FD7E8C">
        <w:rPr>
          <w:rFonts w:ascii="Arial" w:hAnsi="Arial" w:cs="Arial"/>
          <w:sz w:val="24"/>
          <w:szCs w:val="24"/>
        </w:rPr>
        <w:t>e.g.</w:t>
      </w:r>
      <w:proofErr w:type="gramEnd"/>
      <w:r w:rsidRPr="00FD7E8C">
        <w:rPr>
          <w:rFonts w:ascii="Arial" w:hAnsi="Arial" w:cs="Arial"/>
          <w:sz w:val="24"/>
          <w:szCs w:val="24"/>
        </w:rPr>
        <w:t xml:space="preserve"> companies that have been liquidated) </w:t>
      </w:r>
    </w:p>
    <w:p w14:paraId="093E5A00" w14:textId="77777777" w:rsidR="00CE5693" w:rsidRPr="00FD7E8C" w:rsidRDefault="00CE5693" w:rsidP="00EE56E3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FD7E8C">
        <w:rPr>
          <w:rFonts w:ascii="Arial" w:hAnsi="Arial" w:cs="Arial"/>
          <w:sz w:val="24"/>
          <w:szCs w:val="24"/>
        </w:rPr>
        <w:t xml:space="preserve">Where no injury has occurred </w:t>
      </w:r>
    </w:p>
    <w:p w14:paraId="380F578A" w14:textId="77777777" w:rsidR="00CE5693" w:rsidRPr="00FD7E8C" w:rsidRDefault="00CE5693" w:rsidP="00FD7E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E230C" w14:textId="77777777" w:rsidR="0044544D" w:rsidRPr="00FD7E8C" w:rsidRDefault="00EE56E3" w:rsidP="00FD7E8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RIDDOR </w:t>
      </w:r>
      <w:r w:rsidR="0044544D" w:rsidRPr="00FD7E8C">
        <w:rPr>
          <w:rFonts w:ascii="Arial" w:hAnsi="Arial" w:cs="Arial"/>
          <w:b/>
          <w:bCs/>
          <w:sz w:val="24"/>
          <w:szCs w:val="24"/>
          <w:u w:val="single"/>
        </w:rPr>
        <w:t>Notifications</w:t>
      </w:r>
    </w:p>
    <w:p w14:paraId="30B35C00" w14:textId="77777777" w:rsidR="00EE56E3" w:rsidRDefault="00EE56E3" w:rsidP="00FD7E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DD4144" w14:textId="387158FE" w:rsidR="0044544D" w:rsidRPr="00FD7E8C" w:rsidRDefault="0044544D" w:rsidP="00FD7E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 xml:space="preserve">RIDDOR notifications are assessed using the </w:t>
      </w:r>
      <w:r w:rsidR="00EE56E3">
        <w:rPr>
          <w:rFonts w:ascii="Arial" w:hAnsi="Arial" w:cs="Arial"/>
          <w:sz w:val="24"/>
          <w:szCs w:val="24"/>
        </w:rPr>
        <w:t xml:space="preserve">HSE’s </w:t>
      </w:r>
      <w:hyperlink r:id="rId10" w:history="1">
        <w:r w:rsidRPr="00F2744C">
          <w:rPr>
            <w:rStyle w:val="Hyperlink"/>
            <w:rFonts w:ascii="Arial" w:hAnsi="Arial" w:cs="Arial"/>
            <w:sz w:val="24"/>
            <w:szCs w:val="24"/>
          </w:rPr>
          <w:t>incident selection criteria</w:t>
        </w:r>
      </w:hyperlink>
    </w:p>
    <w:p w14:paraId="221DC2AB" w14:textId="31C12FE6" w:rsidR="00CE5693" w:rsidRPr="00FD7E8C" w:rsidRDefault="0044544D" w:rsidP="00FD7E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>which means that not all accidents are</w:t>
      </w:r>
      <w:r w:rsidR="00EE56E3">
        <w:rPr>
          <w:rFonts w:ascii="Arial" w:hAnsi="Arial" w:cs="Arial"/>
          <w:sz w:val="24"/>
          <w:szCs w:val="24"/>
        </w:rPr>
        <w:t xml:space="preserve"> </w:t>
      </w:r>
      <w:r w:rsidRPr="00FD7E8C">
        <w:rPr>
          <w:rFonts w:ascii="Arial" w:hAnsi="Arial" w:cs="Arial"/>
          <w:sz w:val="24"/>
          <w:szCs w:val="24"/>
        </w:rPr>
        <w:t xml:space="preserve">investigated. This provides a </w:t>
      </w:r>
      <w:r w:rsidR="00EE56E3">
        <w:rPr>
          <w:rFonts w:ascii="Arial" w:hAnsi="Arial" w:cs="Arial"/>
          <w:sz w:val="24"/>
          <w:szCs w:val="24"/>
        </w:rPr>
        <w:t xml:space="preserve">nationally </w:t>
      </w:r>
      <w:r w:rsidR="00EE56E3" w:rsidRPr="00EE56E3">
        <w:rPr>
          <w:rFonts w:ascii="Arial" w:hAnsi="Arial" w:cs="Arial"/>
          <w:sz w:val="24"/>
          <w:szCs w:val="24"/>
        </w:rPr>
        <w:t>consistent</w:t>
      </w:r>
      <w:r w:rsidRPr="00FD7E8C">
        <w:rPr>
          <w:rFonts w:ascii="Arial" w:hAnsi="Arial" w:cs="Arial"/>
          <w:sz w:val="24"/>
          <w:szCs w:val="24"/>
        </w:rPr>
        <w:t xml:space="preserve"> proportionate, </w:t>
      </w:r>
      <w:proofErr w:type="gramStart"/>
      <w:r w:rsidRPr="00FD7E8C">
        <w:rPr>
          <w:rFonts w:ascii="Arial" w:hAnsi="Arial" w:cs="Arial"/>
          <w:sz w:val="24"/>
          <w:szCs w:val="24"/>
        </w:rPr>
        <w:t>transparent</w:t>
      </w:r>
      <w:proofErr w:type="gramEnd"/>
      <w:r w:rsidRPr="00FD7E8C">
        <w:rPr>
          <w:rFonts w:ascii="Arial" w:hAnsi="Arial" w:cs="Arial"/>
          <w:sz w:val="24"/>
          <w:szCs w:val="24"/>
        </w:rPr>
        <w:t xml:space="preserve"> and targeted procedure for the</w:t>
      </w:r>
      <w:r w:rsidR="00EE56E3">
        <w:rPr>
          <w:rFonts w:ascii="Arial" w:hAnsi="Arial" w:cs="Arial"/>
          <w:sz w:val="24"/>
          <w:szCs w:val="24"/>
        </w:rPr>
        <w:t xml:space="preserve"> </w:t>
      </w:r>
      <w:r w:rsidRPr="00FD7E8C">
        <w:rPr>
          <w:rFonts w:ascii="Arial" w:hAnsi="Arial" w:cs="Arial"/>
          <w:sz w:val="24"/>
          <w:szCs w:val="24"/>
        </w:rPr>
        <w:t xml:space="preserve">selection and investigation of accidents and incidents. </w:t>
      </w:r>
      <w:r w:rsidRPr="00FD7E8C">
        <w:rPr>
          <w:rFonts w:ascii="Arial" w:hAnsi="Arial" w:cs="Arial"/>
          <w:sz w:val="24"/>
          <w:szCs w:val="24"/>
        </w:rPr>
        <w:cr/>
      </w:r>
    </w:p>
    <w:p w14:paraId="6AC1E26D" w14:textId="77777777" w:rsidR="00CE5693" w:rsidRPr="00FD7E8C" w:rsidRDefault="00CE5693" w:rsidP="00FD7E8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D7E8C">
        <w:rPr>
          <w:rFonts w:ascii="Arial" w:hAnsi="Arial" w:cs="Arial"/>
          <w:b/>
          <w:bCs/>
          <w:sz w:val="24"/>
          <w:szCs w:val="24"/>
          <w:u w:val="single"/>
        </w:rPr>
        <w:t>COVID</w:t>
      </w:r>
      <w:r w:rsidR="00EE56E3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EE56E3" w:rsidRPr="00FD7E8C">
        <w:rPr>
          <w:rFonts w:ascii="Arial" w:hAnsi="Arial" w:cs="Arial"/>
          <w:b/>
          <w:bCs/>
          <w:sz w:val="24"/>
          <w:szCs w:val="24"/>
          <w:u w:val="single"/>
        </w:rPr>
        <w:t xml:space="preserve">19 Related </w:t>
      </w:r>
      <w:r w:rsidR="00EE56E3">
        <w:rPr>
          <w:rFonts w:ascii="Arial" w:hAnsi="Arial" w:cs="Arial"/>
          <w:b/>
          <w:bCs/>
          <w:sz w:val="24"/>
          <w:szCs w:val="24"/>
          <w:u w:val="single"/>
        </w:rPr>
        <w:t>Workplace Enquiries</w:t>
      </w:r>
    </w:p>
    <w:p w14:paraId="2B18544E" w14:textId="77777777" w:rsidR="00EE56E3" w:rsidRDefault="00EE56E3" w:rsidP="00FD7E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6EC9B" w14:textId="77777777" w:rsidR="0044544D" w:rsidRPr="00FD7E8C" w:rsidRDefault="00CE5693" w:rsidP="00FD7E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>In relation to</w:t>
      </w:r>
      <w:r w:rsidR="00EE56E3">
        <w:rPr>
          <w:rFonts w:ascii="Arial" w:hAnsi="Arial" w:cs="Arial"/>
          <w:sz w:val="24"/>
          <w:szCs w:val="24"/>
        </w:rPr>
        <w:t xml:space="preserve"> workplace queries related to</w:t>
      </w:r>
      <w:r w:rsidRPr="00FD7E8C">
        <w:rPr>
          <w:rFonts w:ascii="Arial" w:hAnsi="Arial" w:cs="Arial"/>
          <w:sz w:val="24"/>
          <w:szCs w:val="24"/>
        </w:rPr>
        <w:t xml:space="preserve"> COVID</w:t>
      </w:r>
      <w:r w:rsidR="00EE56E3">
        <w:rPr>
          <w:rFonts w:ascii="Arial" w:hAnsi="Arial" w:cs="Arial"/>
          <w:sz w:val="24"/>
          <w:szCs w:val="24"/>
        </w:rPr>
        <w:t>-</w:t>
      </w:r>
      <w:r w:rsidRPr="00FD7E8C">
        <w:rPr>
          <w:rFonts w:ascii="Arial" w:hAnsi="Arial" w:cs="Arial"/>
          <w:sz w:val="24"/>
          <w:szCs w:val="24"/>
        </w:rPr>
        <w:t xml:space="preserve">19 following incidents will not be investigated: </w:t>
      </w:r>
    </w:p>
    <w:p w14:paraId="0A8FDFF6" w14:textId="77777777" w:rsidR="00BE73B2" w:rsidRPr="00FD7E8C" w:rsidRDefault="00CE5693" w:rsidP="00EE56E3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 xml:space="preserve">Where the reported </w:t>
      </w:r>
      <w:r w:rsidR="00BE73B2" w:rsidRPr="00FD7E8C">
        <w:rPr>
          <w:rFonts w:ascii="Arial" w:hAnsi="Arial" w:cs="Arial"/>
          <w:sz w:val="24"/>
          <w:szCs w:val="24"/>
        </w:rPr>
        <w:t xml:space="preserve">issue concerns </w:t>
      </w:r>
      <w:proofErr w:type="gramStart"/>
      <w:r w:rsidR="00EE56E3">
        <w:rPr>
          <w:rFonts w:ascii="Arial" w:hAnsi="Arial" w:cs="Arial"/>
          <w:sz w:val="24"/>
          <w:szCs w:val="24"/>
        </w:rPr>
        <w:t>matters</w:t>
      </w:r>
      <w:proofErr w:type="gramEnd"/>
      <w:r w:rsidR="00EE56E3">
        <w:rPr>
          <w:rFonts w:ascii="Arial" w:hAnsi="Arial" w:cs="Arial"/>
          <w:sz w:val="24"/>
          <w:szCs w:val="24"/>
        </w:rPr>
        <w:t xml:space="preserve"> that are not explicitly mandatory </w:t>
      </w:r>
      <w:r w:rsidRPr="00FD7E8C">
        <w:rPr>
          <w:rFonts w:ascii="Arial" w:hAnsi="Arial" w:cs="Arial"/>
          <w:sz w:val="24"/>
          <w:szCs w:val="24"/>
        </w:rPr>
        <w:t xml:space="preserve"> </w:t>
      </w:r>
    </w:p>
    <w:p w14:paraId="4C8F9830" w14:textId="77777777" w:rsidR="00BE73B2" w:rsidRPr="00FD7E8C" w:rsidRDefault="00CE5693" w:rsidP="00EE56E3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7E8C">
        <w:rPr>
          <w:rFonts w:ascii="Arial" w:hAnsi="Arial" w:cs="Arial"/>
          <w:sz w:val="24"/>
          <w:szCs w:val="24"/>
        </w:rPr>
        <w:t>Where the concerns arise out of actions not controlled by the duty holder (</w:t>
      </w:r>
      <w:proofErr w:type="gramStart"/>
      <w:r w:rsidRPr="00FD7E8C">
        <w:rPr>
          <w:rFonts w:ascii="Arial" w:hAnsi="Arial" w:cs="Arial"/>
          <w:sz w:val="24"/>
          <w:szCs w:val="24"/>
        </w:rPr>
        <w:t>i.e.</w:t>
      </w:r>
      <w:proofErr w:type="gramEnd"/>
      <w:r w:rsidRPr="00FD7E8C">
        <w:rPr>
          <w:rFonts w:ascii="Arial" w:hAnsi="Arial" w:cs="Arial"/>
          <w:sz w:val="24"/>
          <w:szCs w:val="24"/>
        </w:rPr>
        <w:t xml:space="preserve"> customer to customer interactions)</w:t>
      </w:r>
    </w:p>
    <w:p w14:paraId="3BCE4FA4" w14:textId="7C429819" w:rsidR="00EE56E3" w:rsidRDefault="00EE56E3" w:rsidP="00EE56E3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the matter is not enforced by local authorities such as gatherings, testing, </w:t>
      </w:r>
      <w:r w:rsidR="006770F7">
        <w:rPr>
          <w:rFonts w:ascii="Arial" w:hAnsi="Arial" w:cs="Arial"/>
          <w:sz w:val="24"/>
          <w:szCs w:val="24"/>
        </w:rPr>
        <w:t>self-isolation</w:t>
      </w:r>
      <w:r>
        <w:rPr>
          <w:rFonts w:ascii="Arial" w:hAnsi="Arial" w:cs="Arial"/>
          <w:sz w:val="24"/>
          <w:szCs w:val="24"/>
        </w:rPr>
        <w:t xml:space="preserve">, </w:t>
      </w:r>
      <w:r w:rsidR="006770F7">
        <w:rPr>
          <w:rFonts w:ascii="Arial" w:hAnsi="Arial" w:cs="Arial"/>
          <w:sz w:val="24"/>
          <w:szCs w:val="24"/>
        </w:rPr>
        <w:t>quarantine,</w:t>
      </w:r>
      <w:r>
        <w:rPr>
          <w:rFonts w:ascii="Arial" w:hAnsi="Arial" w:cs="Arial"/>
          <w:sz w:val="24"/>
          <w:szCs w:val="24"/>
        </w:rPr>
        <w:t xml:space="preserve"> or face coverings</w:t>
      </w:r>
    </w:p>
    <w:p w14:paraId="74D21720" w14:textId="77777777" w:rsidR="003140CD" w:rsidRDefault="003140CD" w:rsidP="00FD7E8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3ACE0A94" w14:textId="494FCAFA" w:rsidR="00956B71" w:rsidRPr="00FD7E8C" w:rsidRDefault="00A0423B" w:rsidP="00FD7E8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AD0CE2E" wp14:editId="62306F6B">
            <wp:extent cx="1609725" cy="481330"/>
            <wp:effectExtent l="0" t="0" r="0" b="0"/>
            <wp:docPr id="5" name="Picture 5" descr="Signature of Joe Blanchard - Regulatory Services Ma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ignature of Joe Blanchard - Regulatory Services Manag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8B599" w14:textId="77777777" w:rsidR="00956B71" w:rsidRDefault="00956B71" w:rsidP="00956B71">
      <w:pPr>
        <w:pStyle w:val="Footer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Joe Blanchard </w:t>
      </w:r>
    </w:p>
    <w:p w14:paraId="6ADB5C49" w14:textId="77777777" w:rsidR="00956B71" w:rsidRDefault="00956B71" w:rsidP="00956B71">
      <w:pPr>
        <w:pStyle w:val="Footer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56B71">
        <w:rPr>
          <w:rFonts w:ascii="Arial" w:hAnsi="Arial" w:cs="Arial"/>
          <w:b/>
          <w:bCs/>
          <w:sz w:val="24"/>
          <w:szCs w:val="24"/>
        </w:rPr>
        <w:t>Regulatory Services Manager</w:t>
      </w:r>
    </w:p>
    <w:p w14:paraId="7C705513" w14:textId="77777777" w:rsidR="00956B71" w:rsidRPr="00956B71" w:rsidRDefault="00956B71" w:rsidP="00956B71">
      <w:pPr>
        <w:pStyle w:val="Footer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E0204B">
        <w:rPr>
          <w:rFonts w:ascii="Arial" w:hAnsi="Arial" w:cs="Arial"/>
          <w:b/>
          <w:bCs/>
          <w:sz w:val="24"/>
          <w:szCs w:val="24"/>
        </w:rPr>
        <w:t>1 December</w:t>
      </w:r>
      <w:r>
        <w:rPr>
          <w:rFonts w:ascii="Arial" w:hAnsi="Arial" w:cs="Arial"/>
          <w:b/>
          <w:bCs/>
          <w:sz w:val="24"/>
          <w:szCs w:val="24"/>
        </w:rPr>
        <w:t xml:space="preserve"> 2021</w:t>
      </w:r>
      <w:r w:rsidRPr="00956B71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Light"/>
        <w:tblpPr w:leftFromText="180" w:rightFromText="180" w:vertAnchor="text" w:horzAnchor="margin" w:tblpY="772"/>
        <w:tblW w:w="9443" w:type="dxa"/>
        <w:tblLook w:val="04A0" w:firstRow="1" w:lastRow="0" w:firstColumn="1" w:lastColumn="0" w:noHBand="0" w:noVBand="1"/>
      </w:tblPr>
      <w:tblGrid>
        <w:gridCol w:w="3037"/>
        <w:gridCol w:w="2930"/>
        <w:gridCol w:w="3476"/>
      </w:tblGrid>
      <w:tr w:rsidR="00591E18" w:rsidRPr="00306174" w14:paraId="73277376" w14:textId="77777777" w:rsidTr="00240DE6">
        <w:trPr>
          <w:trHeight w:val="209"/>
        </w:trPr>
        <w:tc>
          <w:tcPr>
            <w:tcW w:w="3037" w:type="dxa"/>
          </w:tcPr>
          <w:p w14:paraId="028213C7" w14:textId="77777777" w:rsidR="00591E18" w:rsidRPr="00306174" w:rsidRDefault="00591E18" w:rsidP="00591E18">
            <w:pPr>
              <w:pStyle w:val="Contacts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C58558" wp14:editId="2F995557">
                      <wp:extent cx="154940" cy="201930"/>
                      <wp:effectExtent l="0" t="0" r="0" b="0"/>
                      <wp:docPr id="2" name="Shape" descr="GP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940" cy="20193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780" y="0"/>
                                      <a:pt x="0" y="3668"/>
                                      <a:pt x="0" y="8287"/>
                                    </a:cubicBezTo>
                                    <a:cubicBezTo>
                                      <a:pt x="0" y="1290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2906"/>
                                      <a:pt x="21600" y="8287"/>
                                    </a:cubicBezTo>
                                    <a:cubicBezTo>
                                      <a:pt x="21600" y="3804"/>
                                      <a:pt x="16820" y="0"/>
                                      <a:pt x="10800" y="0"/>
                                    </a:cubicBezTo>
                                    <a:close/>
                                    <a:moveTo>
                                      <a:pt x="10800" y="11819"/>
                                    </a:moveTo>
                                    <a:cubicBezTo>
                                      <a:pt x="8144" y="11819"/>
                                      <a:pt x="5843" y="10189"/>
                                      <a:pt x="5843" y="8015"/>
                                    </a:cubicBezTo>
                                    <a:cubicBezTo>
                                      <a:pt x="5843" y="5977"/>
                                      <a:pt x="7967" y="4211"/>
                                      <a:pt x="10800" y="4211"/>
                                    </a:cubicBezTo>
                                    <a:cubicBezTo>
                                      <a:pt x="13456" y="4211"/>
                                      <a:pt x="15757" y="5842"/>
                                      <a:pt x="15757" y="8015"/>
                                    </a:cubicBezTo>
                                    <a:cubicBezTo>
                                      <a:pt x="15757" y="10189"/>
                                      <a:pt x="13456" y="11819"/>
                                      <a:pt x="10800" y="11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DB7D4D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#44546a" stroked="f" strokeweight="1pt">
                      <v:stroke miterlimit="4" joinstyle="miter"/>
                      <v:path arrowok="t" o:extrusionok="f" o:connecttype="custom" o:connectlocs="77470,100965;77470,100965;77470,100965;77470,100965" o:connectangles="0,90,180,27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30" w:type="dxa"/>
          </w:tcPr>
          <w:p w14:paraId="533D5B03" w14:textId="77777777" w:rsidR="00591E18" w:rsidRPr="00306174" w:rsidRDefault="00591E18" w:rsidP="00591E18">
            <w:pPr>
              <w:pStyle w:val="Contacts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6BB250" wp14:editId="46A47A62">
                      <wp:extent cx="165100" cy="165100"/>
                      <wp:effectExtent l="0" t="0" r="0" b="0"/>
                      <wp:docPr id="7" name="Shape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9"/>
                                      <a:pt x="0" y="10800"/>
                                    </a:cubicBezTo>
                                    <a:cubicBezTo>
                                      <a:pt x="0" y="16781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1"/>
                                      <a:pt x="21600" y="10800"/>
                                    </a:cubicBezTo>
                                    <a:cubicBezTo>
                                      <a:pt x="21600" y="4819"/>
                                      <a:pt x="16782" y="0"/>
                                      <a:pt x="10800" y="0"/>
                                    </a:cubicBezTo>
                                    <a:close/>
                                    <a:moveTo>
                                      <a:pt x="9637" y="19108"/>
                                    </a:moveTo>
                                    <a:cubicBezTo>
                                      <a:pt x="8640" y="19108"/>
                                      <a:pt x="7809" y="18277"/>
                                      <a:pt x="7809" y="17280"/>
                                    </a:cubicBezTo>
                                    <a:lnTo>
                                      <a:pt x="7809" y="4652"/>
                                    </a:lnTo>
                                    <a:cubicBezTo>
                                      <a:pt x="7809" y="3656"/>
                                      <a:pt x="8640" y="2825"/>
                                      <a:pt x="9637" y="2825"/>
                                    </a:cubicBezTo>
                                    <a:lnTo>
                                      <a:pt x="9637" y="19108"/>
                                    </a:lnTo>
                                    <a:close/>
                                    <a:moveTo>
                                      <a:pt x="13791" y="17945"/>
                                    </a:moveTo>
                                    <a:cubicBezTo>
                                      <a:pt x="13791" y="18609"/>
                                      <a:pt x="13292" y="19108"/>
                                      <a:pt x="12628" y="19108"/>
                                    </a:cubicBezTo>
                                    <a:lnTo>
                                      <a:pt x="10800" y="19108"/>
                                    </a:lnTo>
                                    <a:lnTo>
                                      <a:pt x="10800" y="13791"/>
                                    </a:lnTo>
                                    <a:lnTo>
                                      <a:pt x="12628" y="13791"/>
                                    </a:lnTo>
                                    <a:cubicBezTo>
                                      <a:pt x="13292" y="13791"/>
                                      <a:pt x="13791" y="14289"/>
                                      <a:pt x="13791" y="14954"/>
                                    </a:cubicBezTo>
                                    <a:lnTo>
                                      <a:pt x="13791" y="17945"/>
                                    </a:lnTo>
                                    <a:close/>
                                    <a:moveTo>
                                      <a:pt x="13791" y="6978"/>
                                    </a:moveTo>
                                    <a:cubicBezTo>
                                      <a:pt x="13791" y="7643"/>
                                      <a:pt x="13292" y="8142"/>
                                      <a:pt x="12628" y="8142"/>
                                    </a:cubicBezTo>
                                    <a:lnTo>
                                      <a:pt x="10800" y="8142"/>
                                    </a:lnTo>
                                    <a:lnTo>
                                      <a:pt x="10800" y="2825"/>
                                    </a:lnTo>
                                    <a:lnTo>
                                      <a:pt x="12628" y="2825"/>
                                    </a:lnTo>
                                    <a:cubicBezTo>
                                      <a:pt x="13292" y="2825"/>
                                      <a:pt x="13791" y="3323"/>
                                      <a:pt x="13791" y="3988"/>
                                    </a:cubicBezTo>
                                    <a:lnTo>
                                      <a:pt x="13791" y="69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8016D0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44546a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76" w:type="dxa"/>
          </w:tcPr>
          <w:p w14:paraId="73D951E3" w14:textId="77777777" w:rsidR="00591E18" w:rsidRPr="00306174" w:rsidRDefault="00591E18" w:rsidP="00591E18">
            <w:pPr>
              <w:pStyle w:val="Contacts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F7DAD8" wp14:editId="759350C1">
                      <wp:extent cx="165100" cy="165100"/>
                      <wp:effectExtent l="0" t="0" r="0" b="0"/>
                      <wp:docPr id="1" name="Shape" descr="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5815" y="7975"/>
                                    </a:moveTo>
                                    <a:lnTo>
                                      <a:pt x="5815" y="14123"/>
                                    </a:lnTo>
                                    <a:cubicBezTo>
                                      <a:pt x="5815" y="14456"/>
                                      <a:pt x="5982" y="14622"/>
                                      <a:pt x="6314" y="14622"/>
                                    </a:cubicBezTo>
                                    <a:lnTo>
                                      <a:pt x="15120" y="14622"/>
                                    </a:lnTo>
                                    <a:cubicBezTo>
                                      <a:pt x="15452" y="14622"/>
                                      <a:pt x="15618" y="14456"/>
                                      <a:pt x="15618" y="14123"/>
                                    </a:cubicBezTo>
                                    <a:lnTo>
                                      <a:pt x="15618" y="7975"/>
                                    </a:lnTo>
                                    <a:lnTo>
                                      <a:pt x="10634" y="11963"/>
                                    </a:lnTo>
                                    <a:lnTo>
                                      <a:pt x="5815" y="7975"/>
                                    </a:lnTo>
                                    <a:close/>
                                    <a:moveTo>
                                      <a:pt x="14123" y="7145"/>
                                    </a:moveTo>
                                    <a:lnTo>
                                      <a:pt x="7477" y="7145"/>
                                    </a:lnTo>
                                    <a:lnTo>
                                      <a:pt x="10800" y="9803"/>
                                    </a:lnTo>
                                    <a:lnTo>
                                      <a:pt x="14123" y="7145"/>
                                    </a:ln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9"/>
                                      <a:pt x="0" y="10800"/>
                                    </a:cubicBezTo>
                                    <a:cubicBezTo>
                                      <a:pt x="0" y="16781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1"/>
                                      <a:pt x="21600" y="10800"/>
                                    </a:cubicBezTo>
                                    <a:cubicBezTo>
                                      <a:pt x="21600" y="4819"/>
                                      <a:pt x="16782" y="0"/>
                                      <a:pt x="10800" y="0"/>
                                    </a:cubicBezTo>
                                    <a:close/>
                                    <a:moveTo>
                                      <a:pt x="17446" y="14123"/>
                                    </a:moveTo>
                                    <a:cubicBezTo>
                                      <a:pt x="17446" y="15286"/>
                                      <a:pt x="16449" y="16283"/>
                                      <a:pt x="15286" y="16283"/>
                                    </a:cubicBezTo>
                                    <a:lnTo>
                                      <a:pt x="6480" y="16283"/>
                                    </a:lnTo>
                                    <a:cubicBezTo>
                                      <a:pt x="5317" y="16283"/>
                                      <a:pt x="4320" y="15286"/>
                                      <a:pt x="4320" y="14123"/>
                                    </a:cubicBezTo>
                                    <a:lnTo>
                                      <a:pt x="4320" y="7643"/>
                                    </a:lnTo>
                                    <a:cubicBezTo>
                                      <a:pt x="4320" y="6480"/>
                                      <a:pt x="5317" y="5483"/>
                                      <a:pt x="6480" y="5483"/>
                                    </a:cubicBezTo>
                                    <a:lnTo>
                                      <a:pt x="15286" y="5483"/>
                                    </a:lnTo>
                                    <a:cubicBezTo>
                                      <a:pt x="16449" y="5483"/>
                                      <a:pt x="17446" y="6480"/>
                                      <a:pt x="17446" y="7643"/>
                                    </a:cubicBezTo>
                                    <a:lnTo>
                                      <a:pt x="17446" y="14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85EADA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44546a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  <w10:anchorlock/>
                    </v:shape>
                  </w:pict>
                </mc:Fallback>
              </mc:AlternateContent>
            </w:r>
          </w:p>
        </w:tc>
      </w:tr>
      <w:tr w:rsidR="00591E18" w:rsidRPr="00306174" w14:paraId="6A116110" w14:textId="77777777" w:rsidTr="00240DE6">
        <w:trPr>
          <w:trHeight w:val="669"/>
        </w:trPr>
        <w:tc>
          <w:tcPr>
            <w:tcW w:w="3037" w:type="dxa"/>
          </w:tcPr>
          <w:p w14:paraId="4B857BC3" w14:textId="77777777" w:rsidR="00591E18" w:rsidRDefault="00591E18" w:rsidP="00591E18">
            <w:pPr>
              <w:pStyle w:val="Contacts"/>
              <w:rPr>
                <w:lang w:val="en-GB"/>
              </w:rPr>
            </w:pPr>
          </w:p>
          <w:p w14:paraId="5AE9D875" w14:textId="77777777" w:rsidR="00591E18" w:rsidRPr="001D64D9" w:rsidRDefault="00591E18" w:rsidP="00591E18">
            <w:pPr>
              <w:pStyle w:val="Contacts"/>
              <w:rPr>
                <w:color w:val="auto"/>
                <w:lang w:val="en-GB"/>
              </w:rPr>
            </w:pPr>
            <w:r w:rsidRPr="001D64D9">
              <w:rPr>
                <w:color w:val="auto"/>
                <w:lang w:val="en-GB"/>
              </w:rPr>
              <w:t>Ealing Council</w:t>
            </w:r>
          </w:p>
          <w:p w14:paraId="5821DA91" w14:textId="77777777" w:rsidR="00591E18" w:rsidRPr="001D64D9" w:rsidRDefault="00591E18" w:rsidP="00591E18">
            <w:pPr>
              <w:pStyle w:val="Contacts"/>
              <w:rPr>
                <w:color w:val="auto"/>
                <w:lang w:val="en-GB"/>
              </w:rPr>
            </w:pPr>
            <w:r w:rsidRPr="001D64D9">
              <w:rPr>
                <w:color w:val="auto"/>
                <w:lang w:val="en-GB"/>
              </w:rPr>
              <w:t>Perceval House</w:t>
            </w:r>
          </w:p>
          <w:p w14:paraId="25CAD341" w14:textId="77777777" w:rsidR="00591E18" w:rsidRPr="001D64D9" w:rsidRDefault="00591E18" w:rsidP="00591E18">
            <w:pPr>
              <w:pStyle w:val="Contacts"/>
              <w:rPr>
                <w:color w:val="auto"/>
                <w:lang w:val="en-GB"/>
              </w:rPr>
            </w:pPr>
            <w:r w:rsidRPr="001D64D9">
              <w:rPr>
                <w:color w:val="auto"/>
                <w:lang w:val="en-GB"/>
              </w:rPr>
              <w:t>14-16 Uxbridge Road</w:t>
            </w:r>
          </w:p>
          <w:p w14:paraId="711731A3" w14:textId="77777777" w:rsidR="00591E18" w:rsidRPr="00306174" w:rsidRDefault="00591E18" w:rsidP="00591E18">
            <w:pPr>
              <w:pStyle w:val="Contacts"/>
            </w:pPr>
            <w:r w:rsidRPr="001D64D9">
              <w:rPr>
                <w:color w:val="auto"/>
                <w:lang w:val="en-GB"/>
              </w:rPr>
              <w:t>London W5 2HL</w:t>
            </w:r>
          </w:p>
        </w:tc>
        <w:tc>
          <w:tcPr>
            <w:tcW w:w="2930" w:type="dxa"/>
          </w:tcPr>
          <w:p w14:paraId="21D82FEE" w14:textId="77777777" w:rsidR="00591E18" w:rsidRPr="001D64D9" w:rsidRDefault="00591E18" w:rsidP="00591E18">
            <w:pPr>
              <w:pStyle w:val="Contacts"/>
              <w:rPr>
                <w:color w:val="auto"/>
              </w:rPr>
            </w:pPr>
            <w:r w:rsidRPr="001D64D9">
              <w:rPr>
                <w:color w:val="auto"/>
                <w:lang w:val="en-GB"/>
              </w:rPr>
              <w:t>020 8825 6666</w:t>
            </w:r>
          </w:p>
        </w:tc>
        <w:tc>
          <w:tcPr>
            <w:tcW w:w="3476" w:type="dxa"/>
          </w:tcPr>
          <w:p w14:paraId="7DB37EB8" w14:textId="77777777" w:rsidR="00591E18" w:rsidRPr="001D64D9" w:rsidRDefault="00591E18" w:rsidP="00591E18">
            <w:pPr>
              <w:pStyle w:val="Contacts"/>
              <w:rPr>
                <w:color w:val="auto"/>
              </w:rPr>
            </w:pPr>
            <w:r>
              <w:rPr>
                <w:color w:val="auto"/>
                <w:lang w:val="en-GB"/>
              </w:rPr>
              <w:t>healthandsafety</w:t>
            </w:r>
            <w:r w:rsidRPr="001D64D9">
              <w:rPr>
                <w:color w:val="auto"/>
                <w:lang w:val="en-GB"/>
              </w:rPr>
              <w:t>@ealing.gov.uk</w:t>
            </w:r>
          </w:p>
        </w:tc>
      </w:tr>
    </w:tbl>
    <w:p w14:paraId="7C7CC424" w14:textId="77777777" w:rsidR="00452F2D" w:rsidRPr="00FD7E8C" w:rsidRDefault="00452F2D" w:rsidP="00FD7E8C">
      <w:pPr>
        <w:pStyle w:val="Footer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52F2D" w:rsidRPr="00FD7E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E824" w14:textId="77777777" w:rsidR="008E7184" w:rsidRDefault="008E7184" w:rsidP="007312ED">
      <w:pPr>
        <w:spacing w:after="0" w:line="240" w:lineRule="auto"/>
      </w:pPr>
      <w:r>
        <w:separator/>
      </w:r>
    </w:p>
  </w:endnote>
  <w:endnote w:type="continuationSeparator" w:id="0">
    <w:p w14:paraId="189D7077" w14:textId="77777777" w:rsidR="008E7184" w:rsidRDefault="008E7184" w:rsidP="0073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889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F590F" w14:textId="432E1249" w:rsidR="00591E18" w:rsidRDefault="00591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07CA9" w14:textId="77777777" w:rsidR="00591E18" w:rsidRDefault="00591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D3D1" w14:textId="77777777" w:rsidR="008E7184" w:rsidRDefault="008E7184" w:rsidP="007312ED">
      <w:pPr>
        <w:spacing w:after="0" w:line="240" w:lineRule="auto"/>
      </w:pPr>
      <w:r>
        <w:separator/>
      </w:r>
    </w:p>
  </w:footnote>
  <w:footnote w:type="continuationSeparator" w:id="0">
    <w:p w14:paraId="61BF05BD" w14:textId="77777777" w:rsidR="008E7184" w:rsidRDefault="008E7184" w:rsidP="0073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402D" w14:textId="59E32D43" w:rsidR="009F3939" w:rsidRDefault="00A0423B" w:rsidP="009F3939">
    <w:pPr>
      <w:pStyle w:val="Header"/>
      <w:jc w:val="center"/>
    </w:pPr>
    <w:r>
      <w:rPr>
        <w:noProof/>
      </w:rPr>
      <w:drawing>
        <wp:inline distT="0" distB="0" distL="0" distR="0" wp14:anchorId="3123F092" wp14:editId="7C52DACF">
          <wp:extent cx="2352675" cy="1323975"/>
          <wp:effectExtent l="0" t="0" r="0" b="0"/>
          <wp:docPr id="4" name="Picture 4" descr="Ealing counci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aling council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73" t="12442" r="20503" b="20285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C9B"/>
    <w:multiLevelType w:val="hybridMultilevel"/>
    <w:tmpl w:val="9A2C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C6E"/>
    <w:multiLevelType w:val="hybridMultilevel"/>
    <w:tmpl w:val="D6FA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1478"/>
    <w:multiLevelType w:val="hybridMultilevel"/>
    <w:tmpl w:val="F38E5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5441"/>
    <w:multiLevelType w:val="hybridMultilevel"/>
    <w:tmpl w:val="17FCA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A3610"/>
    <w:multiLevelType w:val="hybridMultilevel"/>
    <w:tmpl w:val="65FE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E1919"/>
    <w:multiLevelType w:val="hybridMultilevel"/>
    <w:tmpl w:val="F5FEA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3DF3"/>
    <w:multiLevelType w:val="hybridMultilevel"/>
    <w:tmpl w:val="67721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842F7"/>
    <w:multiLevelType w:val="hybridMultilevel"/>
    <w:tmpl w:val="9504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30C91"/>
    <w:multiLevelType w:val="hybridMultilevel"/>
    <w:tmpl w:val="B24C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3FA2"/>
    <w:multiLevelType w:val="hybridMultilevel"/>
    <w:tmpl w:val="F2F08568"/>
    <w:lvl w:ilvl="0" w:tplc="C9FC7BE4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D74C2"/>
    <w:multiLevelType w:val="hybridMultilevel"/>
    <w:tmpl w:val="15CA2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175DE"/>
    <w:multiLevelType w:val="hybridMultilevel"/>
    <w:tmpl w:val="4BBA9DF6"/>
    <w:lvl w:ilvl="0" w:tplc="C9FC7BE4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E2054"/>
    <w:multiLevelType w:val="hybridMultilevel"/>
    <w:tmpl w:val="51B63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B24A9B"/>
    <w:multiLevelType w:val="hybridMultilevel"/>
    <w:tmpl w:val="A22E4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61A21"/>
    <w:multiLevelType w:val="hybridMultilevel"/>
    <w:tmpl w:val="9B801F2C"/>
    <w:lvl w:ilvl="0" w:tplc="2EF4D10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53B7C"/>
    <w:multiLevelType w:val="hybridMultilevel"/>
    <w:tmpl w:val="4BC2BE2C"/>
    <w:lvl w:ilvl="0" w:tplc="15B2A7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21658"/>
    <w:multiLevelType w:val="hybridMultilevel"/>
    <w:tmpl w:val="A5B6E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1"/>
  </w:num>
  <w:num w:numId="9">
    <w:abstractNumId w:val="5"/>
  </w:num>
  <w:num w:numId="10">
    <w:abstractNumId w:val="13"/>
  </w:num>
  <w:num w:numId="11">
    <w:abstractNumId w:val="14"/>
  </w:num>
  <w:num w:numId="12">
    <w:abstractNumId w:val="16"/>
  </w:num>
  <w:num w:numId="13">
    <w:abstractNumId w:val="3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zMDM2NjYwsADyLJV0lIJTi4sz8/NACoxqAdyUG/osAAAA"/>
  </w:docVars>
  <w:rsids>
    <w:rsidRoot w:val="007312ED"/>
    <w:rsid w:val="000060BA"/>
    <w:rsid w:val="00021D8A"/>
    <w:rsid w:val="00064C13"/>
    <w:rsid w:val="000F7E87"/>
    <w:rsid w:val="00141D38"/>
    <w:rsid w:val="00164268"/>
    <w:rsid w:val="001A008B"/>
    <w:rsid w:val="001D64D9"/>
    <w:rsid w:val="001D7017"/>
    <w:rsid w:val="00240DE6"/>
    <w:rsid w:val="0025701B"/>
    <w:rsid w:val="00295D7B"/>
    <w:rsid w:val="002B72BE"/>
    <w:rsid w:val="002D5CC1"/>
    <w:rsid w:val="00301F34"/>
    <w:rsid w:val="00304051"/>
    <w:rsid w:val="003140CD"/>
    <w:rsid w:val="00334A5B"/>
    <w:rsid w:val="00345881"/>
    <w:rsid w:val="003A1D63"/>
    <w:rsid w:val="003C2CAC"/>
    <w:rsid w:val="00427AF2"/>
    <w:rsid w:val="0044544D"/>
    <w:rsid w:val="00452F2D"/>
    <w:rsid w:val="0045394B"/>
    <w:rsid w:val="00453EA7"/>
    <w:rsid w:val="00456C7D"/>
    <w:rsid w:val="00482F50"/>
    <w:rsid w:val="004F2AE5"/>
    <w:rsid w:val="0058604D"/>
    <w:rsid w:val="00591E18"/>
    <w:rsid w:val="00606088"/>
    <w:rsid w:val="006652BF"/>
    <w:rsid w:val="006770F7"/>
    <w:rsid w:val="006E2459"/>
    <w:rsid w:val="006F128D"/>
    <w:rsid w:val="007312ED"/>
    <w:rsid w:val="007A0CDB"/>
    <w:rsid w:val="007F5B2C"/>
    <w:rsid w:val="008C6CB9"/>
    <w:rsid w:val="008E5DBF"/>
    <w:rsid w:val="008E7184"/>
    <w:rsid w:val="009301CD"/>
    <w:rsid w:val="00956B71"/>
    <w:rsid w:val="009C2EC9"/>
    <w:rsid w:val="009F3939"/>
    <w:rsid w:val="00A02A8E"/>
    <w:rsid w:val="00A0423B"/>
    <w:rsid w:val="00A364BA"/>
    <w:rsid w:val="00A37415"/>
    <w:rsid w:val="00A51472"/>
    <w:rsid w:val="00A53038"/>
    <w:rsid w:val="00A967A9"/>
    <w:rsid w:val="00AA542A"/>
    <w:rsid w:val="00AC57CC"/>
    <w:rsid w:val="00AE244D"/>
    <w:rsid w:val="00B04BDE"/>
    <w:rsid w:val="00B60BA8"/>
    <w:rsid w:val="00B863E9"/>
    <w:rsid w:val="00BA31B2"/>
    <w:rsid w:val="00BC4544"/>
    <w:rsid w:val="00BC6E50"/>
    <w:rsid w:val="00BE73B2"/>
    <w:rsid w:val="00BF34C2"/>
    <w:rsid w:val="00C158E4"/>
    <w:rsid w:val="00C3486B"/>
    <w:rsid w:val="00C3566A"/>
    <w:rsid w:val="00C90C16"/>
    <w:rsid w:val="00CE5693"/>
    <w:rsid w:val="00D14F77"/>
    <w:rsid w:val="00DF52D0"/>
    <w:rsid w:val="00E0204B"/>
    <w:rsid w:val="00E60C2E"/>
    <w:rsid w:val="00E71908"/>
    <w:rsid w:val="00EE010D"/>
    <w:rsid w:val="00EE56E3"/>
    <w:rsid w:val="00F2292E"/>
    <w:rsid w:val="00F2744C"/>
    <w:rsid w:val="00F70D8C"/>
    <w:rsid w:val="00FA1E21"/>
    <w:rsid w:val="00FB17D7"/>
    <w:rsid w:val="00FD5110"/>
    <w:rsid w:val="00FD7E8C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F5030"/>
  <w15:chartTrackingRefBased/>
  <w15:docId w15:val="{F7C63D18-AEF8-4FDD-A22C-FD79CE6F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2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12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12E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12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12E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2ED"/>
    <w:rPr>
      <w:rFonts w:ascii="Tahoma" w:hAnsi="Tahoma" w:cs="Tahoma"/>
      <w:sz w:val="16"/>
      <w:szCs w:val="16"/>
      <w:lang w:eastAsia="en-US"/>
    </w:rPr>
  </w:style>
  <w:style w:type="paragraph" w:customStyle="1" w:styleId="Contacts">
    <w:name w:val="Contacts"/>
    <w:basedOn w:val="Normal"/>
    <w:uiPriority w:val="5"/>
    <w:qFormat/>
    <w:rsid w:val="00AC57CC"/>
    <w:pPr>
      <w:spacing w:after="0" w:line="240" w:lineRule="auto"/>
      <w:jc w:val="center"/>
    </w:pPr>
    <w:rPr>
      <w:rFonts w:ascii="Franklin Gothic Book" w:eastAsia="Franklin Gothic Book" w:hAnsi="Franklin Gothic Book"/>
      <w:caps/>
      <w:color w:val="1F497D"/>
      <w:sz w:val="20"/>
      <w:szCs w:val="20"/>
      <w:lang w:val="en-US"/>
    </w:rPr>
  </w:style>
  <w:style w:type="character" w:styleId="Hyperlink">
    <w:name w:val="Hyperlink"/>
    <w:uiPriority w:val="99"/>
    <w:unhideWhenUsed/>
    <w:rsid w:val="00D14F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14F7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40D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lau/enforcement-allocation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gov.uk/enforce/incidselcri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gov.uk/foi/internalops/og/ogprocedures/complaints/riskmodel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2EDB-8AC6-4065-B407-C39C923E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3662</CharactersWithSpaces>
  <SharedDoc>false</SharedDoc>
  <HLinks>
    <vt:vector size="18" baseType="variant">
      <vt:variant>
        <vt:i4>5177375</vt:i4>
      </vt:variant>
      <vt:variant>
        <vt:i4>6</vt:i4>
      </vt:variant>
      <vt:variant>
        <vt:i4>0</vt:i4>
      </vt:variant>
      <vt:variant>
        <vt:i4>5</vt:i4>
      </vt:variant>
      <vt:variant>
        <vt:lpwstr>https://www.hse.gov.uk/enforce/incidselcrits.pdf</vt:lpwstr>
      </vt:variant>
      <vt:variant>
        <vt:lpwstr/>
      </vt:variant>
      <vt:variant>
        <vt:i4>6488106</vt:i4>
      </vt:variant>
      <vt:variant>
        <vt:i4>3</vt:i4>
      </vt:variant>
      <vt:variant>
        <vt:i4>0</vt:i4>
      </vt:variant>
      <vt:variant>
        <vt:i4>5</vt:i4>
      </vt:variant>
      <vt:variant>
        <vt:lpwstr>https://www.hse.gov.uk/foi/internalops/og/ogprocedures/complaints/riskmodel.pdf</vt:lpwstr>
      </vt:variant>
      <vt:variant>
        <vt:lpwstr/>
      </vt:variant>
      <vt:variant>
        <vt:i4>786441</vt:i4>
      </vt:variant>
      <vt:variant>
        <vt:i4>0</vt:i4>
      </vt:variant>
      <vt:variant>
        <vt:i4>0</vt:i4>
      </vt:variant>
      <vt:variant>
        <vt:i4>5</vt:i4>
      </vt:variant>
      <vt:variant>
        <vt:lpwstr>https://www.hse.gov.uk/lau/enforcement-allocation.htm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selection and investigation policy december 2021</dc:title>
  <dc:subject/>
  <dc:creator>London Borough of Ealing</dc:creator>
  <cp:keywords/>
  <cp:lastModifiedBy>Hanspreet Thind</cp:lastModifiedBy>
  <cp:revision>9</cp:revision>
  <cp:lastPrinted>2016-12-06T14:53:00Z</cp:lastPrinted>
  <dcterms:created xsi:type="dcterms:W3CDTF">2022-01-07T09:45:00Z</dcterms:created>
  <dcterms:modified xsi:type="dcterms:W3CDTF">2022-01-24T13:47:00Z</dcterms:modified>
</cp:coreProperties>
</file>